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9D82C" w14:textId="6231472A" w:rsidR="008256B4" w:rsidRPr="00BC3AE5" w:rsidRDefault="008256B4" w:rsidP="00902948">
      <w:pPr>
        <w:jc w:val="center"/>
        <w:rPr>
          <w:b/>
          <w:i/>
        </w:rPr>
      </w:pPr>
      <w:r w:rsidRPr="00BC3AE5">
        <w:rPr>
          <w:b/>
          <w:i/>
        </w:rPr>
        <w:t xml:space="preserve">Annexe ZA.1 pour EN IEC </w:t>
      </w:r>
      <w:proofErr w:type="spellStart"/>
      <w:r w:rsidRPr="00BC3AE5">
        <w:rPr>
          <w:b/>
          <w:i/>
        </w:rPr>
        <w:t>xxxx</w:t>
      </w:r>
      <w:proofErr w:type="spellEnd"/>
      <w:r w:rsidRPr="00BC3AE5">
        <w:rPr>
          <w:b/>
          <w:i/>
        </w:rPr>
        <w:t xml:space="preserve"> </w:t>
      </w:r>
      <w:r w:rsidR="00902948" w:rsidRPr="00BC3AE5">
        <w:rPr>
          <w:b/>
          <w:i/>
        </w:rPr>
        <w:br/>
      </w:r>
      <w:r w:rsidRPr="00BC3AE5">
        <w:rPr>
          <w:b/>
          <w:i/>
        </w:rPr>
        <w:t>(pour un document faisant référence à la norme EN 55032:2015)</w:t>
      </w:r>
    </w:p>
    <w:p w14:paraId="792F0388" w14:textId="09F9CACC" w:rsidR="008256B4" w:rsidRPr="0096199F" w:rsidRDefault="008256B4" w:rsidP="00A842AC">
      <w:pPr>
        <w:pStyle w:val="ANNEXZ"/>
        <w:pageBreakBefore w:val="0"/>
        <w:rPr>
          <w:rFonts w:cs="Arial"/>
        </w:rPr>
      </w:pPr>
      <w:r>
        <w:t>.</w:t>
      </w:r>
      <w:proofErr w:type="gramStart"/>
      <w:r>
        <w:t>1</w:t>
      </w:r>
      <w:proofErr w:type="gramEnd"/>
      <w:r w:rsidR="00A842AC">
        <w:br/>
      </w:r>
      <w:r w:rsidRPr="00A842AC">
        <w:rPr>
          <w:b w:val="0"/>
        </w:rPr>
        <w:t>(informative)</w:t>
      </w:r>
      <w:r w:rsidR="00A842AC">
        <w:br/>
      </w:r>
      <w:r w:rsidR="00A842AC">
        <w:br/>
      </w:r>
      <w:r>
        <w:t>Relation entre la présente Norme européenne et les exigences essentielles concernées de la Directi</w:t>
      </w:r>
      <w:r w:rsidR="005D384E">
        <w:t>ve</w:t>
      </w:r>
      <w:r w:rsidR="00A842AC">
        <w:t> </w:t>
      </w:r>
      <w:r w:rsidR="005D384E">
        <w:t>2014/30/UE [JO L 96 de 2014]</w:t>
      </w:r>
    </w:p>
    <w:p w14:paraId="00B9E238" w14:textId="29808CE3" w:rsidR="008256B4" w:rsidRPr="0096199F" w:rsidRDefault="008256B4" w:rsidP="00902948">
      <w:pPr>
        <w:rPr>
          <w:rFonts w:cs="Arial"/>
          <w:szCs w:val="24"/>
        </w:rPr>
      </w:pPr>
      <w:r>
        <w:t>La présente Norme européenne a été élaborée en réponse à la demande de normalisation « M/552/C(2016)</w:t>
      </w:r>
      <w:r w:rsidR="00902948">
        <w:t> </w:t>
      </w:r>
      <w:r>
        <w:t>7641</w:t>
      </w:r>
      <w:r w:rsidR="00902948">
        <w:t> </w:t>
      </w:r>
      <w:r>
        <w:t>final » de la Commission européenne du</w:t>
      </w:r>
      <w:r w:rsidR="00902948">
        <w:t> </w:t>
      </w:r>
      <w:r>
        <w:t>30.11.2016</w:t>
      </w:r>
      <w:r>
        <w:rPr>
          <w:rStyle w:val="Appelnotedebasdep"/>
          <w:rFonts w:eastAsia="Calibri" w:cs="Arial"/>
          <w:iCs/>
          <w:lang w:eastAsia="en-GB"/>
        </w:rPr>
        <w:footnoteReference w:id="1"/>
      </w:r>
      <w:r>
        <w:t xml:space="preserve"> concernant l’élaboration de normes harmonisées à l’appui de la</w:t>
      </w:r>
      <w:r w:rsidR="00902948">
        <w:t> </w:t>
      </w:r>
      <w:r>
        <w:t>Directive</w:t>
      </w:r>
      <w:r w:rsidR="00902948">
        <w:t> </w:t>
      </w:r>
      <w:r>
        <w:t>2014/30/UE portant sur la compatibilité électromagnétique afin d’offrir un moyen volontaire de se conformer aux exigences essentielles de la Directive 2014/30/UE du Parlement européen et du Conseil du</w:t>
      </w:r>
      <w:r w:rsidR="00902948">
        <w:t> </w:t>
      </w:r>
      <w:r>
        <w:t>26</w:t>
      </w:r>
      <w:r w:rsidR="00902948">
        <w:t> </w:t>
      </w:r>
      <w:r>
        <w:t>février</w:t>
      </w:r>
      <w:r w:rsidR="00902948">
        <w:t> </w:t>
      </w:r>
      <w:r>
        <w:t>2014 relative à l'harmonisation des législations des États membres concernant la compatibilité électromagnétique [JO</w:t>
      </w:r>
      <w:r w:rsidR="008E1CDE">
        <w:t> </w:t>
      </w:r>
      <w:r>
        <w:t>L</w:t>
      </w:r>
      <w:r w:rsidR="008E1CDE">
        <w:t> </w:t>
      </w:r>
      <w:r>
        <w:t>96 de 2014].</w:t>
      </w:r>
    </w:p>
    <w:p w14:paraId="7EAD3B3A" w14:textId="6020E23B" w:rsidR="008256B4" w:rsidRPr="0096199F" w:rsidRDefault="008256B4" w:rsidP="00902948">
      <w:pPr>
        <w:rPr>
          <w:rFonts w:cs="Arial"/>
        </w:rPr>
      </w:pPr>
      <w:r>
        <w:t>Une fois la présente norme citée au Journal officiel de l’Union européenne au titre de ladite Directive, la conformité aux articles normatifs de cette norme indiqués dans le Tableau</w:t>
      </w:r>
      <w:r w:rsidR="008E1CDE">
        <w:t> </w:t>
      </w:r>
      <w:r>
        <w:t>ZA.1 confère, dans les limites du domaine d’application de la norme, présomption de conformité aux exigences essentielles correspondantes de ladite Directive et de la réglementation AELE associée.</w:t>
      </w:r>
      <w:bookmarkStart w:id="0" w:name="_GoBack"/>
      <w:bookmarkEnd w:id="0"/>
    </w:p>
    <w:p w14:paraId="08DF7A0B" w14:textId="7E5B41FC" w:rsidR="008256B4" w:rsidRDefault="008256B4" w:rsidP="00902948">
      <w:pPr>
        <w:jc w:val="center"/>
        <w:rPr>
          <w:b/>
        </w:rPr>
      </w:pPr>
      <w:r w:rsidRPr="00902948">
        <w:rPr>
          <w:b/>
        </w:rPr>
        <w:t xml:space="preserve">Tableau ZA.1 </w:t>
      </w:r>
      <w:r w:rsidR="00902948">
        <w:rPr>
          <w:b/>
        </w:rPr>
        <w:t>—</w:t>
      </w:r>
      <w:r w:rsidRPr="00902948">
        <w:rPr>
          <w:b/>
        </w:rPr>
        <w:t xml:space="preserve"> Correspondance entre la présente Norme européenne et les exigences essentielles de la</w:t>
      </w:r>
      <w:r w:rsidR="00902948">
        <w:rPr>
          <w:b/>
        </w:rPr>
        <w:t> </w:t>
      </w:r>
      <w:r w:rsidRPr="00902948">
        <w:rPr>
          <w:b/>
        </w:rPr>
        <w:t>Directive</w:t>
      </w:r>
      <w:r w:rsidR="00902948">
        <w:rPr>
          <w:b/>
        </w:rPr>
        <w:t> </w:t>
      </w:r>
      <w:r w:rsidRPr="00902948">
        <w:rPr>
          <w:b/>
        </w:rPr>
        <w:t>2014/30/UE [JO L 96 de 2014]</w:t>
      </w:r>
    </w:p>
    <w:tbl>
      <w:tblPr>
        <w:tblW w:w="9865" w:type="dxa"/>
        <w:tblInd w:w="11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2778"/>
        <w:gridCol w:w="2438"/>
        <w:gridCol w:w="4649"/>
      </w:tblGrid>
      <w:tr w:rsidR="00916740" w:rsidRPr="000F3834" w14:paraId="761BF994" w14:textId="77777777" w:rsidTr="00916740">
        <w:tc>
          <w:tcPr>
            <w:tcW w:w="2778" w:type="dxa"/>
            <w:shd w:val="clear" w:color="auto" w:fill="auto"/>
          </w:tcPr>
          <w:p w14:paraId="0C30A5D4" w14:textId="022BA929" w:rsidR="008256B4" w:rsidRPr="00902948" w:rsidRDefault="008256B4" w:rsidP="00916740">
            <w:pPr>
              <w:autoSpaceDE w:val="0"/>
              <w:autoSpaceDN w:val="0"/>
              <w:adjustRightInd w:val="0"/>
              <w:spacing w:before="60" w:after="60" w:line="200" w:lineRule="atLeast"/>
              <w:jc w:val="center"/>
              <w:rPr>
                <w:rFonts w:cs="Arial"/>
                <w:b/>
                <w:bCs/>
                <w:iCs/>
                <w:szCs w:val="24"/>
              </w:rPr>
            </w:pPr>
            <w:r w:rsidRPr="00902948">
              <w:rPr>
                <w:b/>
                <w:iCs/>
                <w:szCs w:val="24"/>
              </w:rPr>
              <w:t>Exigences essentielles de la Directive</w:t>
            </w:r>
            <w:r w:rsidR="00902948">
              <w:rPr>
                <w:b/>
                <w:iCs/>
                <w:szCs w:val="24"/>
              </w:rPr>
              <w:t> </w:t>
            </w:r>
            <w:r w:rsidRPr="00902948">
              <w:rPr>
                <w:b/>
                <w:iCs/>
                <w:szCs w:val="24"/>
              </w:rPr>
              <w:t>2014/30/UE</w:t>
            </w:r>
          </w:p>
        </w:tc>
        <w:tc>
          <w:tcPr>
            <w:tcW w:w="2438" w:type="dxa"/>
            <w:shd w:val="clear" w:color="auto" w:fill="auto"/>
          </w:tcPr>
          <w:p w14:paraId="2D222F6A" w14:textId="0506C3C6" w:rsidR="008256B4" w:rsidRPr="00902948" w:rsidRDefault="008256B4" w:rsidP="00916740">
            <w:pPr>
              <w:autoSpaceDE w:val="0"/>
              <w:autoSpaceDN w:val="0"/>
              <w:adjustRightInd w:val="0"/>
              <w:spacing w:before="60" w:after="60" w:line="200" w:lineRule="atLeast"/>
              <w:jc w:val="center"/>
              <w:rPr>
                <w:rFonts w:cs="Arial"/>
                <w:b/>
                <w:bCs/>
                <w:iCs/>
                <w:szCs w:val="24"/>
              </w:rPr>
            </w:pPr>
            <w:r w:rsidRPr="00902948">
              <w:rPr>
                <w:b/>
                <w:iCs/>
                <w:szCs w:val="24"/>
              </w:rPr>
              <w:t>Articles/paragraphes</w:t>
            </w:r>
            <w:r w:rsidR="00902948" w:rsidRPr="00902948">
              <w:rPr>
                <w:b/>
                <w:iCs/>
                <w:szCs w:val="24"/>
              </w:rPr>
              <w:t xml:space="preserve"> </w:t>
            </w:r>
            <w:r w:rsidRPr="00902948">
              <w:rPr>
                <w:b/>
                <w:iCs/>
                <w:szCs w:val="24"/>
              </w:rPr>
              <w:t>de la présente Norme européenne</w:t>
            </w:r>
          </w:p>
        </w:tc>
        <w:tc>
          <w:tcPr>
            <w:tcW w:w="4649" w:type="dxa"/>
            <w:shd w:val="clear" w:color="auto" w:fill="auto"/>
          </w:tcPr>
          <w:p w14:paraId="1381D02D" w14:textId="77777777" w:rsidR="008256B4" w:rsidRPr="00902948" w:rsidRDefault="008256B4" w:rsidP="00916740">
            <w:pPr>
              <w:autoSpaceDE w:val="0"/>
              <w:autoSpaceDN w:val="0"/>
              <w:adjustRightInd w:val="0"/>
              <w:spacing w:before="60" w:after="60" w:line="200" w:lineRule="atLeast"/>
              <w:jc w:val="center"/>
              <w:rPr>
                <w:rFonts w:cs="Arial"/>
                <w:b/>
                <w:bCs/>
                <w:iCs/>
                <w:szCs w:val="24"/>
              </w:rPr>
            </w:pPr>
            <w:r w:rsidRPr="00902948">
              <w:rPr>
                <w:b/>
                <w:iCs/>
                <w:szCs w:val="24"/>
              </w:rPr>
              <w:t>Remarques / Notes</w:t>
            </w:r>
          </w:p>
        </w:tc>
      </w:tr>
      <w:tr w:rsidR="00916740" w:rsidRPr="000F3834" w14:paraId="2861245B" w14:textId="77777777" w:rsidTr="00916740">
        <w:trPr>
          <w:trHeight w:val="2062"/>
        </w:trPr>
        <w:tc>
          <w:tcPr>
            <w:tcW w:w="2778" w:type="dxa"/>
            <w:shd w:val="clear" w:color="auto" w:fill="auto"/>
          </w:tcPr>
          <w:p w14:paraId="0044A66C" w14:textId="3367AFC2" w:rsidR="008256B4" w:rsidRPr="00902948" w:rsidRDefault="008256B4" w:rsidP="00A842AC">
            <w:pPr>
              <w:autoSpaceDE w:val="0"/>
              <w:autoSpaceDN w:val="0"/>
              <w:adjustRightInd w:val="0"/>
              <w:spacing w:before="60" w:after="60" w:line="200" w:lineRule="atLeast"/>
              <w:jc w:val="left"/>
              <w:rPr>
                <w:rFonts w:cs="TimesNewRomanPS-BoldItalicMT"/>
                <w:b/>
                <w:bCs/>
                <w:iCs/>
                <w:sz w:val="24"/>
                <w:szCs w:val="24"/>
                <w:lang w:eastAsia="en-GB"/>
              </w:rPr>
            </w:pPr>
            <w:r w:rsidRPr="00902948">
              <w:t>Annexe I. 1(a) (perturbations</w:t>
            </w:r>
            <w:r w:rsidR="00A842AC">
              <w:t xml:space="preserve"> </w:t>
            </w:r>
            <w:r w:rsidRPr="00902948">
              <w:t>électromagnétiques)</w:t>
            </w:r>
          </w:p>
        </w:tc>
        <w:tc>
          <w:tcPr>
            <w:tcW w:w="2438" w:type="dxa"/>
            <w:shd w:val="clear" w:color="auto" w:fill="auto"/>
          </w:tcPr>
          <w:p w14:paraId="7B19D9A2" w14:textId="6005355A" w:rsidR="008256B4" w:rsidRPr="00902948" w:rsidRDefault="00894C3C" w:rsidP="00A842AC">
            <w:pPr>
              <w:autoSpaceDE w:val="0"/>
              <w:autoSpaceDN w:val="0"/>
              <w:adjustRightInd w:val="0"/>
              <w:spacing w:before="60" w:after="60" w:line="200" w:lineRule="atLeast"/>
              <w:jc w:val="left"/>
              <w:rPr>
                <w:rFonts w:cs="ArialMT"/>
                <w:lang w:eastAsia="en-GB"/>
              </w:rPr>
            </w:pPr>
            <w:r w:rsidRPr="00902948">
              <w:rPr>
                <w:highlight w:val="yellow"/>
              </w:rPr>
              <w:t>Article xxx</w:t>
            </w:r>
          </w:p>
        </w:tc>
        <w:tc>
          <w:tcPr>
            <w:tcW w:w="4649" w:type="dxa"/>
            <w:shd w:val="clear" w:color="auto" w:fill="auto"/>
          </w:tcPr>
          <w:p w14:paraId="591D08FD" w14:textId="596F1831" w:rsidR="00045617" w:rsidRPr="00902948" w:rsidRDefault="00045617" w:rsidP="00A842AC">
            <w:pPr>
              <w:autoSpaceDE w:val="0"/>
              <w:autoSpaceDN w:val="0"/>
              <w:adjustRightInd w:val="0"/>
              <w:spacing w:before="60" w:after="60" w:line="200" w:lineRule="atLeast"/>
              <w:jc w:val="left"/>
              <w:rPr>
                <w:rFonts w:cs="ArialMT"/>
              </w:rPr>
            </w:pPr>
            <w:r w:rsidRPr="00902948">
              <w:t>Lorsque la présente norme, à l’</w:t>
            </w:r>
            <w:r w:rsidRPr="00902948">
              <w:rPr>
                <w:highlight w:val="yellow"/>
              </w:rPr>
              <w:t>Article</w:t>
            </w:r>
            <w:r w:rsidR="00916740">
              <w:rPr>
                <w:highlight w:val="yellow"/>
              </w:rPr>
              <w:t> </w:t>
            </w:r>
            <w:r w:rsidRPr="00902948">
              <w:rPr>
                <w:highlight w:val="yellow"/>
              </w:rPr>
              <w:t>xxx</w:t>
            </w:r>
            <w:r w:rsidRPr="00902948">
              <w:t>, fait référence à la norme EN 55032 pour les exigences d’émission, les</w:t>
            </w:r>
            <w:r w:rsidR="005D384E" w:rsidRPr="00902948">
              <w:t xml:space="preserve"> éléments suivants s’appliquent </w:t>
            </w:r>
            <w:r w:rsidRPr="00902948">
              <w:t>:</w:t>
            </w:r>
          </w:p>
          <w:p w14:paraId="51355424" w14:textId="186AAAF5" w:rsidR="00894C3C" w:rsidRPr="00902948" w:rsidRDefault="005D384E" w:rsidP="00A842AC">
            <w:pPr>
              <w:autoSpaceDE w:val="0"/>
              <w:autoSpaceDN w:val="0"/>
              <w:adjustRightInd w:val="0"/>
              <w:spacing w:before="60" w:after="60" w:line="200" w:lineRule="atLeast"/>
              <w:jc w:val="left"/>
              <w:rPr>
                <w:rFonts w:cs="ArialMT"/>
                <w:i/>
              </w:rPr>
            </w:pPr>
            <w:r w:rsidRPr="00902948">
              <w:rPr>
                <w:i/>
              </w:rPr>
              <w:t>« En ce qui concerne l’Article </w:t>
            </w:r>
            <w:r w:rsidR="00894C3C" w:rsidRPr="00902948">
              <w:rPr>
                <w:i/>
              </w:rPr>
              <w:t>11 de l’EN</w:t>
            </w:r>
            <w:r w:rsidR="00916740">
              <w:rPr>
                <w:i/>
              </w:rPr>
              <w:t> </w:t>
            </w:r>
            <w:r w:rsidR="00894C3C" w:rsidRPr="00902948">
              <w:rPr>
                <w:i/>
              </w:rPr>
              <w:t xml:space="preserve">55032 (Incertitude de mesure), ce qui suit ne doit pas être appliqué si l’Article 5 </w:t>
            </w:r>
            <w:r w:rsidRPr="00902948">
              <w:rPr>
                <w:i/>
              </w:rPr>
              <w:t xml:space="preserve">de l’EN 55032 </w:t>
            </w:r>
            <w:r w:rsidR="00894C3C" w:rsidRPr="00902948">
              <w:rPr>
                <w:i/>
              </w:rPr>
              <w:t>(Exigences) est appliqu</w:t>
            </w:r>
            <w:r w:rsidRPr="00902948">
              <w:rPr>
                <w:i/>
              </w:rPr>
              <w:t>é</w:t>
            </w:r>
            <w:r w:rsidR="00894C3C" w:rsidRPr="00902948">
              <w:rPr>
                <w:i/>
              </w:rPr>
              <w:t xml:space="preserve"> aux fins de la présomption de conformité : </w:t>
            </w:r>
          </w:p>
          <w:p w14:paraId="7200EBC0" w14:textId="499D07A8" w:rsidR="00894C3C" w:rsidRPr="00902948" w:rsidRDefault="00894C3C" w:rsidP="00BC3AE5">
            <w:pPr>
              <w:autoSpaceDE w:val="0"/>
              <w:autoSpaceDN w:val="0"/>
              <w:adjustRightInd w:val="0"/>
              <w:spacing w:before="60" w:after="60" w:line="200" w:lineRule="atLeast"/>
              <w:jc w:val="left"/>
              <w:rPr>
                <w:rFonts w:cs="ArialMT"/>
                <w:lang w:eastAsia="en-GB"/>
              </w:rPr>
            </w:pPr>
            <w:r w:rsidRPr="00902948">
              <w:rPr>
                <w:i/>
              </w:rPr>
              <w:t>« Se référer à la CISPR</w:t>
            </w:r>
            <w:r w:rsidR="00916740">
              <w:rPr>
                <w:i/>
              </w:rPr>
              <w:t> </w:t>
            </w:r>
            <w:r w:rsidRPr="00902948">
              <w:rPr>
                <w:i/>
              </w:rPr>
              <w:t>TR</w:t>
            </w:r>
            <w:r w:rsidR="00916740">
              <w:rPr>
                <w:i/>
              </w:rPr>
              <w:t> </w:t>
            </w:r>
            <w:r w:rsidRPr="00902948">
              <w:rPr>
                <w:i/>
              </w:rPr>
              <w:t>16</w:t>
            </w:r>
            <w:r w:rsidR="00916740">
              <w:rPr>
                <w:i/>
              </w:rPr>
              <w:noBreakHyphen/>
            </w:r>
            <w:r w:rsidRPr="00902948">
              <w:rPr>
                <w:i/>
              </w:rPr>
              <w:t>4</w:t>
            </w:r>
            <w:r w:rsidR="00916740">
              <w:rPr>
                <w:i/>
              </w:rPr>
              <w:noBreakHyphen/>
            </w:r>
            <w:r w:rsidRPr="00902948">
              <w:rPr>
                <w:i/>
              </w:rPr>
              <w:t>3 comme guide d’applicabilité des limites aux MME produits en série</w:t>
            </w:r>
            <w:r w:rsidRPr="00902948">
              <w:t> »</w:t>
            </w:r>
          </w:p>
        </w:tc>
      </w:tr>
    </w:tbl>
    <w:p w14:paraId="263E4533" w14:textId="5CE39A35" w:rsidR="008256B4" w:rsidRPr="0096199F" w:rsidRDefault="008256B4" w:rsidP="00902948">
      <w:pPr>
        <w:spacing w:before="240"/>
        <w:rPr>
          <w:rFonts w:cs="Arial"/>
        </w:rPr>
      </w:pPr>
      <w:r w:rsidRPr="00902948">
        <w:rPr>
          <w:b/>
          <w:iCs/>
        </w:rPr>
        <w:lastRenderedPageBreak/>
        <w:t>AVERTISSEMENT</w:t>
      </w:r>
      <w:r w:rsidR="00902948" w:rsidRPr="00902948">
        <w:rPr>
          <w:b/>
          <w:iCs/>
        </w:rPr>
        <w:t> </w:t>
      </w:r>
      <w:r w:rsidRPr="00902948">
        <w:rPr>
          <w:b/>
          <w:iCs/>
        </w:rPr>
        <w:t>1</w:t>
      </w:r>
      <w:r>
        <w:rPr>
          <w:iCs/>
        </w:rPr>
        <w:t xml:space="preserve"> </w:t>
      </w:r>
      <w:r w:rsidR="00902948">
        <w:rPr>
          <w:iCs/>
        </w:rPr>
        <w:t>—</w:t>
      </w:r>
      <w:r>
        <w:rPr>
          <w:iCs/>
        </w:rPr>
        <w:t xml:space="preserve"> </w:t>
      </w:r>
      <w:r>
        <w:t>La présomption de conformité demeure valable tant que la référence de la présente Norme européenne figure dans la liste publiée au Journal officiel de l'Union européenne. Il est recommandé aux utilisateurs de la présente norme de consulter régulièrement la dernière liste publiée au Journal officiel de l'Union européenne.</w:t>
      </w:r>
    </w:p>
    <w:p w14:paraId="74473B26" w14:textId="0280386E" w:rsidR="008256B4" w:rsidRDefault="008256B4" w:rsidP="00902948">
      <w:pPr>
        <w:rPr>
          <w:rFonts w:cs="Arial"/>
        </w:rPr>
      </w:pPr>
      <w:r w:rsidRPr="00902948">
        <w:rPr>
          <w:b/>
        </w:rPr>
        <w:t>AVERTISSEMENT</w:t>
      </w:r>
      <w:r w:rsidR="00902948" w:rsidRPr="00902948">
        <w:rPr>
          <w:b/>
        </w:rPr>
        <w:t> </w:t>
      </w:r>
      <w:r w:rsidRPr="00902948">
        <w:rPr>
          <w:b/>
        </w:rPr>
        <w:t>2</w:t>
      </w:r>
      <w:r>
        <w:t xml:space="preserve"> </w:t>
      </w:r>
      <w:r w:rsidR="00902948">
        <w:t>—</w:t>
      </w:r>
      <w:r>
        <w:t xml:space="preserve"> D'autres dispositions de la législation de l’Union européenne peuvent être applicables aux produits relevant du domaine d'application de la présente norme.</w:t>
      </w:r>
    </w:p>
    <w:p w14:paraId="6BB51B03" w14:textId="77777777" w:rsidR="008256B4" w:rsidRDefault="008256B4" w:rsidP="008256B4">
      <w:pPr>
        <w:rPr>
          <w:rFonts w:ascii="Arial" w:hAnsi="Arial" w:cs="Arial"/>
        </w:rPr>
      </w:pPr>
    </w:p>
    <w:p w14:paraId="1DDA25D2" w14:textId="77777777" w:rsidR="00BA1789" w:rsidRDefault="00BA1789"/>
    <w:sectPr w:rsidR="00BA1789" w:rsidSect="00916740">
      <w:footerReference w:type="default" r:id="rId11"/>
      <w:pgSz w:w="11906" w:h="16838"/>
      <w:pgMar w:top="1644" w:right="737" w:bottom="1418" w:left="851" w:header="709" w:footer="284"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725A4" w14:textId="77777777" w:rsidR="008256B4" w:rsidRDefault="008256B4" w:rsidP="008256B4">
      <w:r>
        <w:separator/>
      </w:r>
    </w:p>
  </w:endnote>
  <w:endnote w:type="continuationSeparator" w:id="0">
    <w:p w14:paraId="3AF1E520" w14:textId="77777777" w:rsidR="008256B4" w:rsidRDefault="008256B4" w:rsidP="00825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BoldItalicMT">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1E6BD" w14:textId="77777777" w:rsidR="00902948" w:rsidRDefault="00902948" w:rsidP="00902948">
    <w:pPr>
      <w:pStyle w:val="Pieddepage"/>
      <w:spacing w:before="283" w:after="283" w:line="22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B6D2CC" w14:textId="77777777" w:rsidR="008256B4" w:rsidRDefault="008256B4" w:rsidP="008256B4">
      <w:r>
        <w:separator/>
      </w:r>
    </w:p>
  </w:footnote>
  <w:footnote w:type="continuationSeparator" w:id="0">
    <w:p w14:paraId="2D1EB125" w14:textId="77777777" w:rsidR="008256B4" w:rsidRDefault="008256B4" w:rsidP="008256B4">
      <w:r>
        <w:continuationSeparator/>
      </w:r>
    </w:p>
  </w:footnote>
  <w:footnote w:id="1">
    <w:p w14:paraId="04111F37" w14:textId="4C166158" w:rsidR="008256B4" w:rsidRPr="00A842AC" w:rsidRDefault="008256B4" w:rsidP="008256B4">
      <w:pPr>
        <w:rPr>
          <w:iCs/>
          <w:color w:val="1F497D"/>
          <w:sz w:val="20"/>
        </w:rPr>
      </w:pPr>
      <w:r w:rsidRPr="00A842AC">
        <w:rPr>
          <w:rStyle w:val="Appelnotedebasdep"/>
          <w:rFonts w:eastAsia="Calibri"/>
          <w:sz w:val="20"/>
        </w:rPr>
        <w:footnoteRef/>
      </w:r>
      <w:r w:rsidR="00A842AC">
        <w:rPr>
          <w:sz w:val="20"/>
        </w:rPr>
        <w:tab/>
      </w:r>
      <w:r w:rsidRPr="00A842AC">
        <w:rPr>
          <w:rStyle w:val="fielddata"/>
          <w:rFonts w:ascii="Cambria" w:hAnsi="Cambria"/>
          <w:iCs/>
          <w:sz w:val="20"/>
        </w:rPr>
        <w:t>DÉCISION D’EXÉCUTION DE LA COMMISSION C(2016) 7641 final du 30.11.2016 relative à une demande de normalisation adressée au Comité européen de normalisation, au Comité européen de normalisation électrotechnique et à l’Institut européen des normes de télécommunications en ce qui concerne l’élaboration de normes harmonisées à l’appui de la Directive 2014/30/UE du Parlement européen et du Conseil du</w:t>
      </w:r>
      <w:r w:rsidR="00A842AC">
        <w:rPr>
          <w:rStyle w:val="fielddata"/>
          <w:rFonts w:ascii="Cambria" w:hAnsi="Cambria"/>
          <w:iCs/>
          <w:sz w:val="20"/>
        </w:rPr>
        <w:t> </w:t>
      </w:r>
      <w:r w:rsidRPr="00A842AC">
        <w:rPr>
          <w:rStyle w:val="fielddata"/>
          <w:rFonts w:ascii="Cambria" w:hAnsi="Cambria"/>
          <w:iCs/>
          <w:sz w:val="20"/>
        </w:rPr>
        <w:t>26</w:t>
      </w:r>
      <w:r w:rsidR="00A842AC">
        <w:rPr>
          <w:rStyle w:val="fielddata"/>
          <w:rFonts w:ascii="Cambria" w:hAnsi="Cambria"/>
          <w:iCs/>
          <w:sz w:val="20"/>
        </w:rPr>
        <w:t> </w:t>
      </w:r>
      <w:r w:rsidRPr="00A842AC">
        <w:rPr>
          <w:rStyle w:val="fielddata"/>
          <w:rFonts w:ascii="Cambria" w:hAnsi="Cambria"/>
          <w:iCs/>
          <w:sz w:val="20"/>
        </w:rPr>
        <w:t>février</w:t>
      </w:r>
      <w:r w:rsidR="00A842AC">
        <w:rPr>
          <w:rStyle w:val="fielddata"/>
          <w:rFonts w:ascii="Cambria" w:hAnsi="Cambria"/>
          <w:iCs/>
          <w:sz w:val="20"/>
        </w:rPr>
        <w:t> </w:t>
      </w:r>
      <w:r w:rsidRPr="00A842AC">
        <w:rPr>
          <w:rStyle w:val="fielddata"/>
          <w:rFonts w:ascii="Cambria" w:hAnsi="Cambria"/>
          <w:iCs/>
          <w:sz w:val="20"/>
        </w:rPr>
        <w:t>2014 relative à l’harmonisation des législations des États membres concernant la compatibilité électromagnétique.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971A6F"/>
    <w:multiLevelType w:val="multilevel"/>
    <w:tmpl w:val="84C605E0"/>
    <w:lvl w:ilvl="0">
      <w:start w:val="1"/>
      <w:numFmt w:val="upperLetter"/>
      <w:pStyle w:val="ANNEXZ"/>
      <w:suff w:val="nothing"/>
      <w:lvlText w:val="Annexe Z%1"/>
      <w:lvlJc w:val="left"/>
      <w:pPr>
        <w:ind w:left="0" w:firstLine="0"/>
      </w:pPr>
      <w:rPr>
        <w:rFonts w:hint="default"/>
        <w:b/>
        <w:i w:val="0"/>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Restart w:val="1"/>
      <w:suff w:val="space"/>
      <w:lvlText w:val="Bild Z%1.%8"/>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8">
      <w:start w:val="1"/>
      <w:numFmt w:val="decimal"/>
      <w:lvlRestart w:val="1"/>
      <w:suff w:val="space"/>
      <w:lvlText w:val="Tabelle Z%1.%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403"/>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6B4"/>
    <w:rsid w:val="00045617"/>
    <w:rsid w:val="000C00B4"/>
    <w:rsid w:val="00123652"/>
    <w:rsid w:val="00137931"/>
    <w:rsid w:val="00172A3D"/>
    <w:rsid w:val="001F2477"/>
    <w:rsid w:val="00343053"/>
    <w:rsid w:val="003449D4"/>
    <w:rsid w:val="00485E71"/>
    <w:rsid w:val="00491218"/>
    <w:rsid w:val="004F7846"/>
    <w:rsid w:val="005D384E"/>
    <w:rsid w:val="00656C41"/>
    <w:rsid w:val="00701988"/>
    <w:rsid w:val="008256B4"/>
    <w:rsid w:val="00826464"/>
    <w:rsid w:val="008545ED"/>
    <w:rsid w:val="00894C3C"/>
    <w:rsid w:val="008E1CDE"/>
    <w:rsid w:val="00902948"/>
    <w:rsid w:val="00916740"/>
    <w:rsid w:val="00965D6B"/>
    <w:rsid w:val="00A842AC"/>
    <w:rsid w:val="00BA1789"/>
    <w:rsid w:val="00BC3AE5"/>
    <w:rsid w:val="00C82050"/>
    <w:rsid w:val="00CC5E49"/>
    <w:rsid w:val="00CE2E64"/>
    <w:rsid w:val="00D024C3"/>
    <w:rsid w:val="00D36700"/>
    <w:rsid w:val="00D757E4"/>
    <w:rsid w:val="00F552FC"/>
    <w:rsid w:val="00F778AA"/>
    <w:rsid w:val="00FC469C"/>
    <w:rsid w:val="00FF6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1CCB1A"/>
  <w15:chartTrackingRefBased/>
  <w15:docId w15:val="{DD1F9062-7C17-4C01-B22C-4E92A19D2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948"/>
    <w:pPr>
      <w:spacing w:after="240" w:line="240" w:lineRule="atLeast"/>
      <w:jc w:val="both"/>
    </w:pPr>
    <w:rPr>
      <w:rFonts w:ascii="Cambria" w:eastAsia="Times New Roman" w:hAnsi="Cambria" w:cs="Times New Roman"/>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ielddata">
    <w:name w:val="fielddata"/>
    <w:rsid w:val="008256B4"/>
    <w:rPr>
      <w:rFonts w:ascii="Arial" w:hAnsi="Arial" w:cs="Arial" w:hint="default"/>
      <w:color w:val="000000"/>
    </w:rPr>
  </w:style>
  <w:style w:type="character" w:styleId="Appelnotedebasdep">
    <w:name w:val="footnote reference"/>
    <w:uiPriority w:val="99"/>
    <w:semiHidden/>
    <w:unhideWhenUsed/>
    <w:rsid w:val="008256B4"/>
    <w:rPr>
      <w:vertAlign w:val="superscript"/>
    </w:rPr>
  </w:style>
  <w:style w:type="paragraph" w:styleId="Textebrut">
    <w:name w:val="Plain Text"/>
    <w:basedOn w:val="Normal"/>
    <w:link w:val="TextebrutCar"/>
    <w:uiPriority w:val="99"/>
    <w:semiHidden/>
    <w:unhideWhenUsed/>
    <w:rsid w:val="008256B4"/>
    <w:rPr>
      <w:rFonts w:ascii="Arial" w:eastAsia="Calibri" w:hAnsi="Arial"/>
      <w:szCs w:val="21"/>
      <w:lang w:eastAsia="de-DE"/>
    </w:rPr>
  </w:style>
  <w:style w:type="character" w:customStyle="1" w:styleId="TextebrutCar">
    <w:name w:val="Texte brut Car"/>
    <w:basedOn w:val="Policepardfaut"/>
    <w:link w:val="Textebrut"/>
    <w:uiPriority w:val="99"/>
    <w:semiHidden/>
    <w:rsid w:val="008256B4"/>
    <w:rPr>
      <w:rFonts w:ascii="Arial" w:eastAsia="Calibri" w:hAnsi="Arial" w:cs="Times New Roman"/>
      <w:sz w:val="20"/>
      <w:szCs w:val="21"/>
      <w:lang w:val="fr-FR" w:eastAsia="de-DE"/>
    </w:rPr>
  </w:style>
  <w:style w:type="character" w:styleId="Marquedecommentaire">
    <w:name w:val="annotation reference"/>
    <w:basedOn w:val="Policepardfaut"/>
    <w:uiPriority w:val="99"/>
    <w:semiHidden/>
    <w:unhideWhenUsed/>
    <w:rsid w:val="004F7846"/>
    <w:rPr>
      <w:sz w:val="16"/>
      <w:szCs w:val="16"/>
    </w:rPr>
  </w:style>
  <w:style w:type="paragraph" w:styleId="Commentaire">
    <w:name w:val="annotation text"/>
    <w:basedOn w:val="Normal"/>
    <w:link w:val="CommentaireCar"/>
    <w:uiPriority w:val="99"/>
    <w:semiHidden/>
    <w:unhideWhenUsed/>
    <w:rsid w:val="004F7846"/>
  </w:style>
  <w:style w:type="character" w:customStyle="1" w:styleId="CommentaireCar">
    <w:name w:val="Commentaire Car"/>
    <w:basedOn w:val="Policepardfaut"/>
    <w:link w:val="Commentaire"/>
    <w:uiPriority w:val="99"/>
    <w:semiHidden/>
    <w:rsid w:val="004F7846"/>
    <w:rPr>
      <w:rFonts w:ascii="Times New Roman" w:eastAsia="Times New Roman" w:hAnsi="Times New Roman"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4F7846"/>
    <w:rPr>
      <w:b/>
      <w:bCs/>
    </w:rPr>
  </w:style>
  <w:style w:type="character" w:customStyle="1" w:styleId="ObjetducommentaireCar">
    <w:name w:val="Objet du commentaire Car"/>
    <w:basedOn w:val="CommentaireCar"/>
    <w:link w:val="Objetducommentaire"/>
    <w:uiPriority w:val="99"/>
    <w:semiHidden/>
    <w:rsid w:val="004F7846"/>
    <w:rPr>
      <w:rFonts w:ascii="Times New Roman" w:eastAsia="Times New Roman" w:hAnsi="Times New Roman" w:cs="Times New Roman"/>
      <w:b/>
      <w:bCs/>
      <w:sz w:val="20"/>
      <w:szCs w:val="20"/>
      <w:lang w:val="fr-FR"/>
    </w:rPr>
  </w:style>
  <w:style w:type="paragraph" w:styleId="Textedebulles">
    <w:name w:val="Balloon Text"/>
    <w:basedOn w:val="Normal"/>
    <w:link w:val="TextedebullesCar"/>
    <w:uiPriority w:val="99"/>
    <w:semiHidden/>
    <w:unhideWhenUsed/>
    <w:rsid w:val="004F7846"/>
    <w:rPr>
      <w:rFonts w:ascii="Segoe UI" w:hAnsi="Segoe UI" w:cs="Segoe UI"/>
      <w:sz w:val="18"/>
      <w:szCs w:val="18"/>
    </w:rPr>
  </w:style>
  <w:style w:type="character" w:customStyle="1" w:styleId="TextedebullesCar">
    <w:name w:val="Texte de bulles Car"/>
    <w:basedOn w:val="Policepardfaut"/>
    <w:link w:val="Textedebulles"/>
    <w:uiPriority w:val="99"/>
    <w:semiHidden/>
    <w:rsid w:val="004F7846"/>
    <w:rPr>
      <w:rFonts w:ascii="Segoe UI" w:eastAsia="Times New Roman" w:hAnsi="Segoe UI" w:cs="Segoe UI"/>
      <w:sz w:val="18"/>
      <w:szCs w:val="18"/>
      <w:lang w:val="fr-FR"/>
    </w:rPr>
  </w:style>
  <w:style w:type="paragraph" w:styleId="Notedebasdepage">
    <w:name w:val="footnote text"/>
    <w:basedOn w:val="Normal"/>
    <w:link w:val="NotedebasdepageCar"/>
    <w:uiPriority w:val="99"/>
    <w:semiHidden/>
    <w:unhideWhenUsed/>
    <w:rsid w:val="000C00B4"/>
  </w:style>
  <w:style w:type="character" w:customStyle="1" w:styleId="NotedebasdepageCar">
    <w:name w:val="Note de bas de page Car"/>
    <w:basedOn w:val="Policepardfaut"/>
    <w:link w:val="Notedebasdepage"/>
    <w:uiPriority w:val="99"/>
    <w:semiHidden/>
    <w:rsid w:val="000C00B4"/>
    <w:rPr>
      <w:rFonts w:ascii="Times New Roman" w:eastAsia="Times New Roman" w:hAnsi="Times New Roman" w:cs="Times New Roman"/>
      <w:sz w:val="20"/>
      <w:szCs w:val="20"/>
      <w:lang w:val="fr-FR"/>
    </w:rPr>
  </w:style>
  <w:style w:type="paragraph" w:styleId="En-tte">
    <w:name w:val="header"/>
    <w:basedOn w:val="Normal"/>
    <w:link w:val="En-tteCar"/>
    <w:uiPriority w:val="99"/>
    <w:unhideWhenUsed/>
    <w:rsid w:val="00902948"/>
    <w:pPr>
      <w:tabs>
        <w:tab w:val="center" w:pos="4536"/>
        <w:tab w:val="right" w:pos="9072"/>
      </w:tabs>
    </w:pPr>
  </w:style>
  <w:style w:type="character" w:customStyle="1" w:styleId="En-tteCar">
    <w:name w:val="En-tête Car"/>
    <w:basedOn w:val="Policepardfaut"/>
    <w:link w:val="En-tte"/>
    <w:uiPriority w:val="99"/>
    <w:rsid w:val="00902948"/>
    <w:rPr>
      <w:rFonts w:ascii="Times New Roman" w:eastAsia="Times New Roman" w:hAnsi="Times New Roman" w:cs="Times New Roman"/>
      <w:sz w:val="20"/>
      <w:szCs w:val="20"/>
    </w:rPr>
  </w:style>
  <w:style w:type="paragraph" w:styleId="Pieddepage">
    <w:name w:val="footer"/>
    <w:basedOn w:val="Normal"/>
    <w:link w:val="PieddepageCar"/>
    <w:uiPriority w:val="99"/>
    <w:unhideWhenUsed/>
    <w:rsid w:val="00902948"/>
    <w:pPr>
      <w:tabs>
        <w:tab w:val="center" w:pos="4536"/>
        <w:tab w:val="right" w:pos="9072"/>
      </w:tabs>
    </w:pPr>
  </w:style>
  <w:style w:type="character" w:customStyle="1" w:styleId="PieddepageCar">
    <w:name w:val="Pied de page Car"/>
    <w:basedOn w:val="Policepardfaut"/>
    <w:link w:val="Pieddepage"/>
    <w:uiPriority w:val="99"/>
    <w:rsid w:val="00902948"/>
    <w:rPr>
      <w:rFonts w:ascii="Times New Roman" w:eastAsia="Times New Roman" w:hAnsi="Times New Roman" w:cs="Times New Roman"/>
      <w:sz w:val="20"/>
      <w:szCs w:val="20"/>
    </w:rPr>
  </w:style>
  <w:style w:type="paragraph" w:customStyle="1" w:styleId="ANNEXZ">
    <w:name w:val="ANNEXZ"/>
    <w:basedOn w:val="Normal"/>
    <w:next w:val="Normal"/>
    <w:rsid w:val="00A842AC"/>
    <w:pPr>
      <w:keepNext/>
      <w:pageBreakBefore/>
      <w:numPr>
        <w:numId w:val="1"/>
      </w:numPr>
      <w:spacing w:after="760" w:line="310" w:lineRule="exact"/>
      <w:jc w:val="center"/>
      <w:outlineLvl w:val="0"/>
    </w:pPr>
    <w:rPr>
      <w:rFonts w:eastAsia="MS Mincho" w:cs="Cambria"/>
      <w:b/>
      <w:sz w:val="28"/>
      <w:szCs w:val="28"/>
      <w:lang w:eastAsia="fr-FR"/>
    </w:rPr>
  </w:style>
  <w:style w:type="table" w:styleId="Grilledutableau">
    <w:name w:val="Table Grid"/>
    <w:basedOn w:val="TableauNormal"/>
    <w:uiPriority w:val="39"/>
    <w:rsid w:val="00A842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E1B49CF51A9F429440A3C78B816EED" ma:contentTypeVersion="0" ma:contentTypeDescription="Create a new document." ma:contentTypeScope="" ma:versionID="8965699d809e249094791ea5ff490ba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5C9264-9B8E-49D1-A047-7F103C410097}">
  <ds:schemaRefs>
    <ds:schemaRef ds:uri="http://schemas.microsoft.com/sharepoint/v3/contenttype/forms"/>
  </ds:schemaRefs>
</ds:datastoreItem>
</file>

<file path=customXml/itemProps2.xml><?xml version="1.0" encoding="utf-8"?>
<ds:datastoreItem xmlns:ds="http://schemas.openxmlformats.org/officeDocument/2006/customXml" ds:itemID="{5AE01A70-7E21-42C7-9679-EC79E9F6423C}">
  <ds:schemaRefs>
    <ds:schemaRef ds:uri="http://schemas.microsoft.com/office/2006/metadata/properties"/>
  </ds:schemaRefs>
</ds:datastoreItem>
</file>

<file path=customXml/itemProps3.xml><?xml version="1.0" encoding="utf-8"?>
<ds:datastoreItem xmlns:ds="http://schemas.openxmlformats.org/officeDocument/2006/customXml" ds:itemID="{0FDDA462-A35B-496B-A33E-76D68AEA8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F65D0B5-33E7-4D92-B282-31D5BDDF5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383</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British Standards Institution</Company>
  <LinksUpToDate>false</LinksUpToDate>
  <CharactersWithSpaces>2489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Nyomee Hla-Shwe Tun</dc:creator>
  <cp:keywords/>
  <dc:description/>
  <cp:lastModifiedBy>gomez rafaële</cp:lastModifiedBy>
  <cp:revision>8</cp:revision>
  <cp:lastPrinted>2019-06-13T12:55:00Z</cp:lastPrinted>
  <dcterms:created xsi:type="dcterms:W3CDTF">2020-06-05T13:54:00Z</dcterms:created>
  <dcterms:modified xsi:type="dcterms:W3CDTF">2020-11-04T13:03:00Z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0x01010066E1B49CF51A9F429440A3C78B816EED</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