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E9" w:rsidRPr="00A6336C" w:rsidRDefault="004E0BE9" w:rsidP="001D587E">
      <w:pPr>
        <w:pStyle w:val="ANNEXZ"/>
      </w:pPr>
      <w:r>
        <w:br/>
      </w:r>
      <w:r w:rsidRPr="00064F03">
        <w:rPr>
          <w:b w:val="0"/>
        </w:rPr>
        <w:t>(informative)</w:t>
      </w:r>
      <w:r>
        <w:br/>
      </w:r>
      <w:r>
        <w:br/>
        <w:t>Relation entre la présente Norme européenne et les exigences essentielles concernées de la Directive(UE) 2016/797</w:t>
      </w:r>
    </w:p>
    <w:p w:rsidR="004E0BE9" w:rsidRPr="00CB6ACA" w:rsidRDefault="004E0BE9" w:rsidP="001849A4">
      <w:pPr>
        <w:rPr>
          <w:rFonts w:eastAsia="Times New Roman" w:cs="Arial"/>
        </w:rPr>
      </w:pPr>
      <w:r>
        <w:t>La présente Norme européenne a été élaborée en réponse à la demande de normalisation de la Commission européenne « M/483 Mandat de normalisation adressé au CEN et au CENELEC dans le domaine de l’interopérabilité du système ferroviaire » afin d’offrir un moyen volontaire de se conformer (à certaines) des exigences essentielles de la Directive (UE)</w:t>
      </w:r>
      <w:r w:rsidR="001849A4">
        <w:t> </w:t>
      </w:r>
      <w:r>
        <w:t>2016/797 du Parlement européen et du Conseil du</w:t>
      </w:r>
      <w:r w:rsidR="001849A4">
        <w:t> </w:t>
      </w:r>
      <w:r>
        <w:t>11</w:t>
      </w:r>
      <w:r w:rsidR="001849A4">
        <w:t> </w:t>
      </w:r>
      <w:r>
        <w:t>mai</w:t>
      </w:r>
      <w:r w:rsidR="001849A4">
        <w:t> </w:t>
      </w:r>
      <w:r>
        <w:t>2016 relative à l’interopérabilité du système ferroviaire (refonte) comme indiqué dans la spécification technique d’interopérabilité (STI) pertinente.</w:t>
      </w:r>
    </w:p>
    <w:p w:rsidR="004E0BE9" w:rsidRDefault="001849A4" w:rsidP="001849A4">
      <w:r>
        <w:rPr>
          <w:noProof/>
          <w:lang w:eastAsia="fr-FR"/>
        </w:rPr>
        <mc:AlternateContent>
          <mc:Choice Requires="wps">
            <w:drawing>
              <wp:anchor distT="0" distB="0" distL="114300" distR="114300" simplePos="0" relativeHeight="251671552" behindDoc="0" locked="0" layoutInCell="1" allowOverlap="1" wp14:editId="4BE050A9">
                <wp:simplePos x="0" y="0"/>
                <wp:positionH relativeFrom="column">
                  <wp:posOffset>3078480</wp:posOffset>
                </wp:positionH>
                <wp:positionV relativeFrom="paragraph">
                  <wp:posOffset>459740</wp:posOffset>
                </wp:positionV>
                <wp:extent cx="228600" cy="1165860"/>
                <wp:effectExtent l="0" t="38100" r="57150" b="1524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65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17F58" id="_x0000_t32" coordsize="21600,21600" o:spt="32" o:oned="t" path="m,l21600,21600e" filled="f">
                <v:path arrowok="t" fillok="f" o:connecttype="none"/>
                <o:lock v:ext="edit" shapetype="t"/>
              </v:shapetype>
              <v:shape id="Connecteur droit avec flèche 6" o:spid="_x0000_s1026" type="#_x0000_t32" style="position:absolute;margin-left:242.4pt;margin-top:36.2pt;width:18pt;height:91.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">
                <v:stroke endarrow="block"/>
              </v:shape>
            </w:pict>
          </mc:Fallback>
        </mc:AlternateContent>
      </w:r>
      <w:r w:rsidR="00D35EEE">
        <w:t xml:space="preserve">Une fois la présente norme citée au Journal officiel de l’Union européenne au titre de ladite Directive, la conformité aux articles normatifs de cette norme indiqués dans le </w:t>
      </w:r>
      <w:r w:rsidR="00D35EEE" w:rsidRPr="001849A4">
        <w:rPr>
          <w:color w:val="FF0000"/>
          <w:highlight w:val="yellow"/>
        </w:rPr>
        <w:t>[Tableau ZA.1 relatif aux wagons pour le fret] [, et dans le Tableau ZA.2 relatif aux locomotives et matériel roulant destiné au transport de passagers, et ...]</w:t>
      </w:r>
      <w:r w:rsidR="00D35EEE">
        <w:t xml:space="preserve"> confère, dans les limites du domaine d’application de la norme, présomption de conformité aux exigences essentielles correspondantes de ladite Directive comme indiqué dans la spécification technique d’interopérabilité (STI), et de la réglementation AELE associée.</w:t>
      </w:r>
    </w:p>
    <w:p w:rsidR="00D95FC6" w:rsidRPr="00CB6ACA" w:rsidRDefault="00D95FC6" w:rsidP="004E0BE9">
      <w:pPr>
        <w:ind w:left="400"/>
        <w:rPr>
          <w:rFonts w:eastAsia="Times New Roman" w:cs="Arial"/>
        </w:rPr>
      </w:pPr>
    </w:p>
    <w:p w:rsidR="004E0BE9" w:rsidRPr="00CB6ACA" w:rsidRDefault="001849A4" w:rsidP="004E0BE9">
      <w:pPr>
        <w:pStyle w:val="Corpsdetexte"/>
        <w:autoSpaceDE w:val="0"/>
        <w:autoSpaceDN w:val="0"/>
        <w:adjustRightInd w:val="0"/>
      </w:pPr>
      <w:r>
        <w:rPr>
          <w:noProof/>
          <w:lang w:eastAsia="fr-FR"/>
        </w:rPr>
        <mc:AlternateContent>
          <mc:Choice Requires="wps">
            <w:drawing>
              <wp:anchor distT="0" distB="0" distL="114300" distR="114300" simplePos="0" relativeHeight="251659264" behindDoc="0" locked="0" layoutInCell="1" allowOverlap="1" wp14:anchorId="6B17389C" wp14:editId="0921BF4B">
                <wp:simplePos x="0" y="0"/>
                <wp:positionH relativeFrom="column">
                  <wp:posOffset>1914525</wp:posOffset>
                </wp:positionH>
                <wp:positionV relativeFrom="paragraph">
                  <wp:posOffset>12065</wp:posOffset>
                </wp:positionV>
                <wp:extent cx="3086100" cy="1038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38225"/>
                        </a:xfrm>
                        <a:prstGeom prst="rect">
                          <a:avLst/>
                        </a:prstGeom>
                        <a:solidFill>
                          <a:srgbClr val="FFFFFF"/>
                        </a:solidFill>
                        <a:ln w="9525">
                          <a:solidFill>
                            <a:srgbClr val="000000"/>
                          </a:solidFill>
                          <a:miter lim="800000"/>
                          <a:headEnd/>
                          <a:tailEnd/>
                        </a:ln>
                      </wps:spPr>
                      <wps:txbx>
                        <w:txbxContent>
                          <w:p w:rsidR="004E0BE9" w:rsidRPr="008A675B" w:rsidRDefault="004E0BE9" w:rsidP="004E0BE9">
                            <w:pPr>
                              <w:rPr>
                                <w:sz w:val="16"/>
                                <w:szCs w:val="16"/>
                                <w:highlight w:val="yellow"/>
                              </w:rPr>
                            </w:pPr>
                            <w:r>
                              <w:rPr>
                                <w:sz w:val="16"/>
                                <w:highlight w:val="yellow"/>
                              </w:rPr>
                              <w:t>L’Annexe Z contiendra un ou plusieurs tableaux définissant les rapports existant entre les articles concernés de la STI et les articles de la norme. 1 tableau par STI pertinente</w:t>
                            </w:r>
                          </w:p>
                          <w:p w:rsidR="004E0BE9" w:rsidRPr="008A675B" w:rsidRDefault="004E0BE9" w:rsidP="004E0BE9">
                            <w:pPr>
                              <w:rPr>
                                <w:sz w:val="16"/>
                                <w:szCs w:val="16"/>
                              </w:rPr>
                            </w:pPr>
                            <w:r>
                              <w:rPr>
                                <w:sz w:val="16"/>
                                <w:highlight w:val="yellow"/>
                              </w:rPr>
                              <w:t>L’ordre dans lequel sont classées les STI est laissé à l’appréciation du WG.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7389C" id="_x0000_t202" coordsize="21600,21600" o:spt="202" path="m,l,21600r21600,l21600,xe">
                <v:stroke joinstyle="miter"/>
                <v:path gradientshapeok="t" o:connecttype="rect"/>
              </v:shapetype>
              <v:shape id="Text Box 2" o:spid="_x0000_s1026" type="#_x0000_t202" style="position:absolute;left:0;text-align:left;margin-left:150.75pt;margin-top:.95pt;width:243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">
                <v:textbox>
                  <w:txbxContent>
                    <w:p w:rsidR="004E0BE9" w:rsidRPr="008A675B" w:rsidRDefault="004E0BE9" w:rsidP="004E0BE9">
                      <w:pPr>
                        <w:rPr>
                          <w:sz w:val="16"/>
                          <w:szCs w:val="16"/>
                          <w:highlight w:val="yellow"/>
                        </w:rPr>
                      </w:pPr>
                      <w:r>
                        <w:rPr>
                          <w:sz w:val="16"/>
                          <w:highlight w:val="yellow"/>
                        </w:rPr>
                        <w:t>L’Annexe Z contiendra un ou plusieurs tableaux définissant les rapports existant entre les articles concernés de la STI et les articles de la norme. 1 tableau par STI pertinente</w:t>
                      </w:r>
                    </w:p>
                    <w:p w:rsidR="004E0BE9" w:rsidRPr="008A675B" w:rsidRDefault="004E0BE9" w:rsidP="004E0BE9">
                      <w:pPr>
                        <w:rPr>
                          <w:sz w:val="16"/>
                          <w:szCs w:val="16"/>
                        </w:rPr>
                      </w:pPr>
                      <w:r>
                        <w:rPr>
                          <w:sz w:val="16"/>
                          <w:highlight w:val="yellow"/>
                        </w:rPr>
                        <w:t>L’ordre dans lequel sont classées les STI est laissé à l’appréciation du WG.</w:t>
                      </w:r>
                    </w:p>
                  </w:txbxContent>
                </v:textbox>
              </v:shape>
            </w:pict>
          </mc:Fallback>
        </mc:AlternateContent>
      </w:r>
    </w:p>
    <w:p w:rsidR="00FF57AC" w:rsidRDefault="00FF57AC" w:rsidP="00FF57AC">
      <w:pPr>
        <w:pStyle w:val="Corpsdetexte"/>
        <w:autoSpaceDE w:val="0"/>
        <w:autoSpaceDN w:val="0"/>
        <w:adjustRightInd w:val="0"/>
      </w:pPr>
    </w:p>
    <w:p w:rsidR="00FF57AC" w:rsidRDefault="00FF57AC" w:rsidP="00FF57AC">
      <w:pPr>
        <w:pStyle w:val="Corpsdetexte"/>
        <w:autoSpaceDE w:val="0"/>
        <w:autoSpaceDN w:val="0"/>
        <w:adjustRightInd w:val="0"/>
      </w:pPr>
    </w:p>
    <w:p w:rsidR="00FF57AC" w:rsidRDefault="00FF57AC" w:rsidP="00FF57AC">
      <w:pPr>
        <w:pStyle w:val="Corpsdetexte"/>
        <w:autoSpaceDE w:val="0"/>
        <w:autoSpaceDN w:val="0"/>
        <w:adjustRightInd w:val="0"/>
      </w:pPr>
    </w:p>
    <w:p w:rsidR="00FF57AC" w:rsidRDefault="00FF57AC" w:rsidP="00FF57AC">
      <w:pPr>
        <w:pStyle w:val="Corpsdetexte"/>
        <w:autoSpaceDE w:val="0"/>
        <w:autoSpaceDN w:val="0"/>
        <w:adjustRightInd w:val="0"/>
      </w:pPr>
    </w:p>
    <w:p w:rsidR="00FF57AC" w:rsidRDefault="00FF57AC" w:rsidP="00FF57AC">
      <w:pPr>
        <w:pStyle w:val="Corpsdetexte"/>
        <w:autoSpaceDE w:val="0"/>
        <w:autoSpaceDN w:val="0"/>
        <w:adjustRightInd w:val="0"/>
      </w:pPr>
    </w:p>
    <w:p w:rsidR="00FF57AC" w:rsidRDefault="00FF57AC" w:rsidP="00FF57AC">
      <w:pPr>
        <w:pStyle w:val="Corpsdetexte"/>
        <w:autoSpaceDE w:val="0"/>
        <w:autoSpaceDN w:val="0"/>
        <w:adjustRightInd w:val="0"/>
      </w:pPr>
    </w:p>
    <w:p w:rsidR="004E0BE9" w:rsidRDefault="00E22125" w:rsidP="001849A4">
      <w:pPr>
        <w:pStyle w:val="Tabletitle"/>
        <w:pageBreakBefore/>
        <w:autoSpaceDE w:val="0"/>
        <w:autoSpaceDN w:val="0"/>
        <w:adjustRightInd w:val="0"/>
        <w:spacing w:before="240"/>
        <w:outlineLvl w:val="0"/>
        <w:rPr>
          <w:szCs w:val="24"/>
        </w:rPr>
      </w:pPr>
      <w:r>
        <w:rPr>
          <w:noProof/>
          <w:lang w:eastAsia="fr-FR"/>
        </w:rPr>
        <w:lastRenderedPageBreak/>
        <mc:AlternateContent>
          <mc:Choice Requires="wps">
            <w:drawing>
              <wp:anchor distT="0" distB="0" distL="114300" distR="114300" simplePos="0" relativeHeight="251672576" behindDoc="0" locked="0" layoutInCell="1" allowOverlap="1" wp14:anchorId="13CDD710" wp14:editId="5AC04EBD">
                <wp:simplePos x="0" y="0"/>
                <wp:positionH relativeFrom="column">
                  <wp:posOffset>1164589</wp:posOffset>
                </wp:positionH>
                <wp:positionV relativeFrom="paragraph">
                  <wp:posOffset>-443865</wp:posOffset>
                </wp:positionV>
                <wp:extent cx="638175" cy="432435"/>
                <wp:effectExtent l="38100" t="0" r="28575" b="62865"/>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66347" id="_x0000_t32" coordsize="21600,21600" o:spt="32" o:oned="t" path="m,l21600,21600e" filled="f">
                <v:path arrowok="t" fillok="f" o:connecttype="none"/>
                <o:lock v:ext="edit" shapetype="t"/>
              </v:shapetype>
              <v:shape id="Connecteur droit avec flèche 7" o:spid="_x0000_s1026" type="#_x0000_t32" style="position:absolute;margin-left:91.7pt;margin-top:-34.95pt;width:50.25pt;height:34.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">
                <v:stroke endarrow="block"/>
              </v:shape>
            </w:pict>
          </mc:Fallback>
        </mc:AlternateContent>
      </w:r>
      <w:r w:rsidRPr="001849A4">
        <w:rPr>
          <w:noProof/>
          <w:highlight w:val="yellow"/>
          <w:lang w:eastAsia="fr-FR"/>
        </w:rPr>
        <mc:AlternateContent>
          <mc:Choice Requires="wps">
            <w:drawing>
              <wp:anchor distT="0" distB="0" distL="114300" distR="114300" simplePos="0" relativeHeight="251670528" behindDoc="0" locked="0" layoutInCell="1" allowOverlap="1" wp14:anchorId="1E997EE8" wp14:editId="01A64062">
                <wp:simplePos x="0" y="0"/>
                <wp:positionH relativeFrom="margin">
                  <wp:posOffset>1819275</wp:posOffset>
                </wp:positionH>
                <wp:positionV relativeFrom="paragraph">
                  <wp:posOffset>-657225</wp:posOffset>
                </wp:positionV>
                <wp:extent cx="1514475" cy="565150"/>
                <wp:effectExtent l="0" t="0" r="28575" b="254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65150"/>
                        </a:xfrm>
                        <a:prstGeom prst="rect">
                          <a:avLst/>
                        </a:prstGeom>
                        <a:solidFill>
                          <a:srgbClr val="FFFFFF"/>
                        </a:solidFill>
                        <a:ln w="9525">
                          <a:solidFill>
                            <a:srgbClr val="000000"/>
                          </a:solidFill>
                          <a:miter lim="800000"/>
                          <a:headEnd/>
                          <a:tailEnd/>
                        </a:ln>
                      </wps:spPr>
                      <wps:txbx>
                        <w:txbxContent>
                          <w:p w:rsidR="00FF57AC" w:rsidRPr="008A675B" w:rsidRDefault="00FF57AC" w:rsidP="00FF57AC">
                            <w:pPr>
                              <w:rPr>
                                <w:sz w:val="16"/>
                                <w:szCs w:val="16"/>
                                <w:highlight w:val="yellow"/>
                              </w:rPr>
                            </w:pPr>
                            <w:r>
                              <w:rPr>
                                <w:sz w:val="16"/>
                                <w:highlight w:val="yellow"/>
                              </w:rPr>
                              <w:t>L’en-tête de chaque tableau doit être choisi</w:t>
                            </w:r>
                            <w:r w:rsidR="001849A4">
                              <w:rPr>
                                <w:sz w:val="16"/>
                                <w:highlight w:val="yellow"/>
                              </w:rPr>
                              <w:t xml:space="preserve"> </w:t>
                            </w:r>
                            <w:r>
                              <w:rPr>
                                <w:sz w:val="16"/>
                                <w:highlight w:val="yellow"/>
                              </w:rPr>
                              <w:t>dans la liste du Tableau 1, colonne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97EE8" id="Text Box 13" o:spid="_x0000_s1027" type="#_x0000_t202" style="position:absolute;left:0;text-align:left;margin-left:143.25pt;margin-top:-51.75pt;width:119.25pt;height:4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">
                <v:textbox>
                  <w:txbxContent>
                    <w:p w:rsidR="00FF57AC" w:rsidRPr="008A675B" w:rsidRDefault="00FF57AC" w:rsidP="00FF57AC">
                      <w:pPr>
                        <w:rPr>
                          <w:sz w:val="16"/>
                          <w:szCs w:val="16"/>
                          <w:highlight w:val="yellow"/>
                        </w:rPr>
                      </w:pPr>
                      <w:r>
                        <w:rPr>
                          <w:sz w:val="16"/>
                          <w:highlight w:val="yellow"/>
                        </w:rPr>
                        <w:t>L’en-tête de chaque tableau doit être choisi</w:t>
                      </w:r>
                      <w:r w:rsidR="001849A4">
                        <w:rPr>
                          <w:sz w:val="16"/>
                          <w:highlight w:val="yellow"/>
                        </w:rPr>
                        <w:t xml:space="preserve"> </w:t>
                      </w:r>
                      <w:r>
                        <w:rPr>
                          <w:sz w:val="16"/>
                          <w:highlight w:val="yellow"/>
                        </w:rPr>
                        <w:t>dans la liste du Tableau 1, colonne (a).</w:t>
                      </w:r>
                    </w:p>
                  </w:txbxContent>
                </v:textbox>
                <w10:wrap anchorx="margin"/>
              </v:shape>
            </w:pict>
          </mc:Fallback>
        </mc:AlternateContent>
      </w:r>
      <w:r>
        <w:rPr>
          <w:noProof/>
          <w:lang w:eastAsia="fr-FR"/>
        </w:rPr>
        <mc:AlternateContent>
          <mc:Choice Requires="wps">
            <w:drawing>
              <wp:anchor distT="0" distB="0" distL="114300" distR="114300" simplePos="0" relativeHeight="251673600" behindDoc="0" locked="0" layoutInCell="1" allowOverlap="1" wp14:anchorId="6200A89F" wp14:editId="4E51BE5E">
                <wp:simplePos x="0" y="0"/>
                <wp:positionH relativeFrom="margin">
                  <wp:posOffset>640714</wp:posOffset>
                </wp:positionH>
                <wp:positionV relativeFrom="paragraph">
                  <wp:posOffset>-234315</wp:posOffset>
                </wp:positionV>
                <wp:extent cx="3190875" cy="1283970"/>
                <wp:effectExtent l="38100" t="0" r="28575" b="6858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90875" cy="128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EE2F4" id="Connecteur droit avec flèche 8" o:spid="_x0000_s1026" type="#_x0000_t32" style="position:absolute;margin-left:50.45pt;margin-top:-18.45pt;width:251.25pt;height:101.1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">
                <v:stroke endarrow="block"/>
                <w10:wrap anchorx="margin"/>
              </v:shape>
            </w:pict>
          </mc:Fallback>
        </mc:AlternateContent>
      </w:r>
      <w:r w:rsidR="001849A4" w:rsidRPr="001849A4">
        <w:rPr>
          <w:noProof/>
          <w:highlight w:val="yellow"/>
          <w:lang w:eastAsia="fr-FR"/>
        </w:rPr>
        <mc:AlternateContent>
          <mc:Choice Requires="wps">
            <w:drawing>
              <wp:anchor distT="0" distB="0" distL="114300" distR="114300" simplePos="0" relativeHeight="251669504" behindDoc="0" locked="0" layoutInCell="1" allowOverlap="1" wp14:anchorId="310102F4" wp14:editId="0EDB0636">
                <wp:simplePos x="0" y="0"/>
                <wp:positionH relativeFrom="column">
                  <wp:posOffset>3835400</wp:posOffset>
                </wp:positionH>
                <wp:positionV relativeFrom="paragraph">
                  <wp:posOffset>-771525</wp:posOffset>
                </wp:positionV>
                <wp:extent cx="2019300" cy="752475"/>
                <wp:effectExtent l="0" t="0" r="19050"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52475"/>
                        </a:xfrm>
                        <a:prstGeom prst="rect">
                          <a:avLst/>
                        </a:prstGeom>
                        <a:solidFill>
                          <a:srgbClr val="FFFFFF"/>
                        </a:solidFill>
                        <a:ln w="9525">
                          <a:solidFill>
                            <a:srgbClr val="000000"/>
                          </a:solidFill>
                          <a:miter lim="800000"/>
                          <a:headEnd/>
                          <a:tailEnd/>
                        </a:ln>
                      </wps:spPr>
                      <wps:txbx>
                        <w:txbxContent>
                          <w:p w:rsidR="00FF57AC" w:rsidRPr="008A675B" w:rsidRDefault="00FF57AC" w:rsidP="00FF57AC">
                            <w:pPr>
                              <w:rPr>
                                <w:sz w:val="16"/>
                                <w:szCs w:val="16"/>
                              </w:rPr>
                            </w:pPr>
                            <w:r>
                              <w:rPr>
                                <w:sz w:val="16"/>
                                <w:highlight w:val="yellow"/>
                              </w:rPr>
                              <w:t>La référence à l’Appendice pertinente est extraite du Tableau 1, colonne (b), sur la base de l’entrée sélectionnée dans le Tableau 1, colonne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02F4" id="Text Box 12" o:spid="_x0000_s1028" type="#_x0000_t202" style="position:absolute;left:0;text-align:left;margin-left:302pt;margin-top:-60.75pt;width:159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ALAIAAFg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">
                <v:textbox>
                  <w:txbxContent>
                    <w:p w:rsidR="00FF57AC" w:rsidRPr="008A675B" w:rsidRDefault="00FF57AC" w:rsidP="00FF57AC">
                      <w:pPr>
                        <w:rPr>
                          <w:sz w:val="16"/>
                          <w:szCs w:val="16"/>
                        </w:rPr>
                      </w:pPr>
                      <w:r>
                        <w:rPr>
                          <w:sz w:val="16"/>
                          <w:highlight w:val="yellow"/>
                        </w:rPr>
                        <w:t>La référence à l’Appendice pertinente est extraite du Tableau 1, colonne (b), sur la base de l’entrée sélectionnée dans le Tableau 1, colonne (a)</w:t>
                      </w:r>
                    </w:p>
                  </w:txbxContent>
                </v:textbox>
              </v:shape>
            </w:pict>
          </mc:Fallback>
        </mc:AlternateContent>
      </w:r>
      <w:r w:rsidR="00D35EEE" w:rsidRPr="001849A4">
        <w:rPr>
          <w:highlight w:val="yellow"/>
        </w:rPr>
        <w:t>Tableau ZA.1</w:t>
      </w:r>
      <w:r w:rsidR="00D35EEE">
        <w:t> — Correspondance entre la présente Norme européenne, le Règlement</w:t>
      </w:r>
      <w:r w:rsidR="001849A4">
        <w:t> </w:t>
      </w:r>
      <w:r w:rsidR="00D35EEE">
        <w:t>(UE)</w:t>
      </w:r>
      <w:r w:rsidR="001849A4">
        <w:t> </w:t>
      </w:r>
      <w:r w:rsidR="00D35EEE">
        <w:t>N° 321/2013 de la Commission relatif à la spécification technique d’interopérabilité (STI) concernant le sous-système « matériel roulant – wagons pour le fret » du système ferroviaire dans l’Union européenne</w:t>
      </w:r>
      <w:r w:rsidR="00064F03">
        <w:rPr>
          <w:rStyle w:val="Appelnotedebasdep"/>
        </w:rPr>
        <w:footnoteReference w:id="1"/>
      </w:r>
      <w:r w:rsidR="00064F03">
        <w:t xml:space="preserve"> </w:t>
      </w:r>
      <w:r w:rsidR="00D35EEE">
        <w:t>* et la</w:t>
      </w:r>
      <w:r w:rsidR="00064F03">
        <w:t> </w:t>
      </w:r>
      <w:r w:rsidR="00D35EEE">
        <w:t>Directive (UE)</w:t>
      </w:r>
      <w:r w:rsidR="00064F03">
        <w:t> </w:t>
      </w:r>
      <w:r w:rsidR="00D35EEE">
        <w:t>2016/797</w:t>
      </w:r>
    </w:p>
    <w:p w:rsidR="004E0BE9" w:rsidRDefault="004E0BE9" w:rsidP="001849A4">
      <w:pPr>
        <w:pStyle w:val="Note"/>
      </w:pPr>
      <w:r>
        <w:t>NOTE</w:t>
      </w:r>
      <w:r w:rsidR="001849A4">
        <w:tab/>
      </w:r>
      <w:r>
        <w:t xml:space="preserve">La Spécification technique d’interopérabilité (STI) peut faire référence à d’autres articles de la présente norme, ce qui rend obligatoire l’application desdits articles. Des références possibles à ces articles figurent dans </w:t>
      </w:r>
      <w:r w:rsidRPr="001849A4">
        <w:rPr>
          <w:highlight w:val="yellow"/>
        </w:rPr>
        <w:t>l’Appendice D</w:t>
      </w:r>
      <w:r>
        <w:t xml:space="preserve"> à la STI.</w:t>
      </w:r>
    </w:p>
    <w:tbl>
      <w:tblPr>
        <w:tblW w:w="9536" w:type="dxa"/>
        <w:jc w:val="center"/>
        <w:tblBorders>
          <w:top w:val="single" w:sz="18" w:space="0" w:color="auto"/>
          <w:left w:val="single" w:sz="18" w:space="0" w:color="auto"/>
          <w:bottom w:val="single" w:sz="18" w:space="0" w:color="auto"/>
          <w:right w:val="single" w:sz="18" w:space="0" w:color="auto"/>
          <w:insideH w:val="sing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1877"/>
        <w:gridCol w:w="3101"/>
        <w:gridCol w:w="2166"/>
        <w:gridCol w:w="2392"/>
      </w:tblGrid>
      <w:tr w:rsidR="004E0BE9" w:rsidRPr="00E8547B" w:rsidTr="00064F03">
        <w:trPr>
          <w:jc w:val="center"/>
        </w:trPr>
        <w:tc>
          <w:tcPr>
            <w:tcW w:w="1877" w:type="dxa"/>
          </w:tcPr>
          <w:p w:rsidR="004E0BE9" w:rsidRPr="00CB6ACA" w:rsidRDefault="004E0BE9" w:rsidP="00891CE2">
            <w:pPr>
              <w:jc w:val="center"/>
              <w:rPr>
                <w:b/>
                <w:color w:val="000000"/>
              </w:rPr>
            </w:pPr>
            <w:r>
              <w:rPr>
                <w:b/>
                <w:color w:val="000000"/>
              </w:rPr>
              <w:t>Exigences essentielles de la Directive (UE) 2016/797</w:t>
            </w:r>
          </w:p>
        </w:tc>
        <w:tc>
          <w:tcPr>
            <w:tcW w:w="3101" w:type="dxa"/>
          </w:tcPr>
          <w:p w:rsidR="004E0BE9" w:rsidRPr="00CB6ACA" w:rsidRDefault="004E0BE9" w:rsidP="00891CE2">
            <w:pPr>
              <w:jc w:val="center"/>
              <w:rPr>
                <w:b/>
                <w:color w:val="000000"/>
              </w:rPr>
            </w:pPr>
            <w:r>
              <w:rPr>
                <w:b/>
                <w:color w:val="000000"/>
              </w:rPr>
              <w:t xml:space="preserve">Articles de l’Annexe à la Spécification technique d’interopérabilité (STI) </w:t>
            </w:r>
          </w:p>
        </w:tc>
        <w:tc>
          <w:tcPr>
            <w:tcW w:w="2166" w:type="dxa"/>
          </w:tcPr>
          <w:p w:rsidR="004E0BE9" w:rsidRPr="00CB6ACA" w:rsidRDefault="004E0BE9" w:rsidP="00891CE2">
            <w:pPr>
              <w:jc w:val="center"/>
              <w:rPr>
                <w:b/>
                <w:color w:val="000000"/>
              </w:rPr>
            </w:pPr>
            <w:r>
              <w:rPr>
                <w:b/>
                <w:color w:val="000000"/>
              </w:rPr>
              <w:t>Articles/paragraphes de la présente Norme européenne</w:t>
            </w:r>
          </w:p>
        </w:tc>
        <w:tc>
          <w:tcPr>
            <w:tcW w:w="2392" w:type="dxa"/>
          </w:tcPr>
          <w:p w:rsidR="004E0BE9" w:rsidRPr="00CB6ACA" w:rsidRDefault="004E0BE9" w:rsidP="00891CE2">
            <w:pPr>
              <w:jc w:val="center"/>
              <w:rPr>
                <w:b/>
                <w:color w:val="000000"/>
              </w:rPr>
            </w:pPr>
            <w:r>
              <w:rPr>
                <w:b/>
                <w:color w:val="000000"/>
              </w:rPr>
              <w:t>Commentaires</w:t>
            </w:r>
          </w:p>
        </w:tc>
      </w:tr>
      <w:tr w:rsidR="004E0BE9" w:rsidRPr="00E8547B" w:rsidTr="00064F03">
        <w:trPr>
          <w:jc w:val="center"/>
        </w:trPr>
        <w:tc>
          <w:tcPr>
            <w:tcW w:w="1877" w:type="dxa"/>
            <w:vMerge w:val="restart"/>
          </w:tcPr>
          <w:p w:rsidR="004E0BE9" w:rsidRPr="00E8547B" w:rsidRDefault="00E22125" w:rsidP="00891CE2">
            <w:pPr>
              <w:pStyle w:val="Tabletext10"/>
              <w:spacing w:before="40" w:after="40" w:line="240" w:lineRule="auto"/>
              <w:jc w:val="left"/>
              <w:rPr>
                <w:sz w:val="22"/>
                <w:szCs w:val="22"/>
              </w:rPr>
            </w:pPr>
            <w:r>
              <w:rPr>
                <w:noProof/>
                <w:lang w:eastAsia="fr-FR"/>
              </w:rPr>
              <mc:AlternateContent>
                <mc:Choice Requires="wps">
                  <w:drawing>
                    <wp:anchor distT="0" distB="0" distL="114300" distR="114300" simplePos="0" relativeHeight="251675648" behindDoc="0" locked="0" layoutInCell="1" allowOverlap="1" wp14:anchorId="43904D12" wp14:editId="11E97246">
                      <wp:simplePos x="0" y="0"/>
                      <wp:positionH relativeFrom="column">
                        <wp:posOffset>626745</wp:posOffset>
                      </wp:positionH>
                      <wp:positionV relativeFrom="paragraph">
                        <wp:posOffset>159537</wp:posOffset>
                      </wp:positionV>
                      <wp:extent cx="1448410" cy="373076"/>
                      <wp:effectExtent l="38100" t="57150" r="19050" b="27305"/>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8410" cy="3730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48ED7" id="Connecteur droit avec flèche 9" o:spid="_x0000_s1026" type="#_x0000_t32" style="position:absolute;margin-left:49.35pt;margin-top:12.55pt;width:114.05pt;height:29.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">
                      <v:stroke endarrow="block"/>
                    </v:shape>
                  </w:pict>
                </mc:Fallback>
              </mc:AlternateContent>
            </w:r>
            <w:r w:rsidR="00D35EEE" w:rsidRPr="001849A4">
              <w:rPr>
                <w:highlight w:val="yellow"/>
              </w:rPr>
              <w:t>La section 3</w:t>
            </w:r>
            <w:r w:rsidR="00D35EEE">
              <w:t xml:space="preserve"> de l’Annexe à la STI indique la correspondance entre les articles de la STI et les exigences essentielles de la Directive (UE) 2016/797</w:t>
            </w:r>
          </w:p>
        </w:tc>
        <w:tc>
          <w:tcPr>
            <w:tcW w:w="3101" w:type="dxa"/>
          </w:tcPr>
          <w:p w:rsidR="004E0BE9" w:rsidRPr="00E8547B" w:rsidRDefault="004E0BE9" w:rsidP="00891CE2">
            <w:pPr>
              <w:autoSpaceDE w:val="0"/>
              <w:autoSpaceDN w:val="0"/>
              <w:adjustRightInd w:val="0"/>
              <w:spacing w:after="120"/>
              <w:rPr>
                <w:color w:val="000000"/>
              </w:rPr>
            </w:pPr>
          </w:p>
        </w:tc>
        <w:tc>
          <w:tcPr>
            <w:tcW w:w="2166" w:type="dxa"/>
          </w:tcPr>
          <w:p w:rsidR="004E0BE9" w:rsidRPr="00E8547B" w:rsidRDefault="004E0BE9" w:rsidP="00891CE2">
            <w:pPr>
              <w:autoSpaceDE w:val="0"/>
              <w:autoSpaceDN w:val="0"/>
              <w:adjustRightInd w:val="0"/>
            </w:pPr>
          </w:p>
        </w:tc>
        <w:tc>
          <w:tcPr>
            <w:tcW w:w="2392" w:type="dxa"/>
          </w:tcPr>
          <w:p w:rsidR="004E0BE9" w:rsidRPr="00E8547B" w:rsidRDefault="004E0BE9" w:rsidP="00891CE2">
            <w:pPr>
              <w:autoSpaceDE w:val="0"/>
              <w:autoSpaceDN w:val="0"/>
              <w:adjustRightInd w:val="0"/>
              <w:spacing w:before="60" w:after="60"/>
              <w:rPr>
                <w:rFonts w:cs="Arial"/>
                <w:kern w:val="18"/>
                <w:lang w:val="en-US"/>
              </w:rPr>
            </w:pPr>
          </w:p>
        </w:tc>
      </w:tr>
      <w:tr w:rsidR="004E0BE9" w:rsidRPr="00E8547B" w:rsidTr="00064F03">
        <w:trPr>
          <w:jc w:val="center"/>
        </w:trPr>
        <w:tc>
          <w:tcPr>
            <w:tcW w:w="1877" w:type="dxa"/>
            <w:vMerge/>
          </w:tcPr>
          <w:p w:rsidR="004E0BE9" w:rsidRPr="00E8547B" w:rsidRDefault="004E0BE9" w:rsidP="00891CE2">
            <w:pPr>
              <w:pStyle w:val="Tabletext10"/>
              <w:spacing w:before="40" w:after="40" w:line="240" w:lineRule="auto"/>
              <w:jc w:val="left"/>
              <w:rPr>
                <w:sz w:val="22"/>
                <w:szCs w:val="22"/>
              </w:rPr>
            </w:pPr>
          </w:p>
        </w:tc>
        <w:tc>
          <w:tcPr>
            <w:tcW w:w="3101" w:type="dxa"/>
          </w:tcPr>
          <w:p w:rsidR="004E0BE9" w:rsidRPr="00E8547B" w:rsidRDefault="004E0BE9" w:rsidP="00891CE2">
            <w:pPr>
              <w:autoSpaceDE w:val="0"/>
              <w:autoSpaceDN w:val="0"/>
              <w:adjustRightInd w:val="0"/>
              <w:spacing w:before="60" w:after="60"/>
              <w:rPr>
                <w:color w:val="000000"/>
              </w:rPr>
            </w:pPr>
          </w:p>
        </w:tc>
        <w:tc>
          <w:tcPr>
            <w:tcW w:w="2166" w:type="dxa"/>
          </w:tcPr>
          <w:p w:rsidR="004E0BE9" w:rsidRPr="00E8547B" w:rsidRDefault="004E0BE9" w:rsidP="00891CE2">
            <w:pPr>
              <w:autoSpaceDE w:val="0"/>
              <w:autoSpaceDN w:val="0"/>
              <w:adjustRightInd w:val="0"/>
            </w:pPr>
          </w:p>
        </w:tc>
        <w:tc>
          <w:tcPr>
            <w:tcW w:w="2392" w:type="dxa"/>
          </w:tcPr>
          <w:p w:rsidR="004E0BE9" w:rsidRPr="00E8547B" w:rsidRDefault="00E22125" w:rsidP="00891CE2">
            <w:pPr>
              <w:autoSpaceDE w:val="0"/>
              <w:autoSpaceDN w:val="0"/>
              <w:adjustRightInd w:val="0"/>
              <w:spacing w:before="60" w:after="60"/>
              <w:rPr>
                <w:color w:val="000000"/>
                <w:lang w:val="en-US"/>
              </w:rPr>
            </w:pPr>
            <w:r>
              <w:rPr>
                <w:noProof/>
                <w:color w:val="000000"/>
                <w:lang w:eastAsia="fr-FR"/>
              </w:rPr>
              <mc:AlternateContent>
                <mc:Choice Requires="wps">
                  <w:drawing>
                    <wp:anchor distT="0" distB="0" distL="114300" distR="114300" simplePos="0" relativeHeight="251665408" behindDoc="0" locked="0" layoutInCell="1" allowOverlap="1" wp14:anchorId="43D1ACE3" wp14:editId="5DE268EA">
                      <wp:simplePos x="0" y="0"/>
                      <wp:positionH relativeFrom="column">
                        <wp:posOffset>-2455281</wp:posOffset>
                      </wp:positionH>
                      <wp:positionV relativeFrom="paragraph">
                        <wp:posOffset>-285055</wp:posOffset>
                      </wp:positionV>
                      <wp:extent cx="2587924" cy="733425"/>
                      <wp:effectExtent l="0" t="0" r="22225"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924" cy="733425"/>
                              </a:xfrm>
                              <a:prstGeom prst="rect">
                                <a:avLst/>
                              </a:prstGeom>
                              <a:solidFill>
                                <a:srgbClr val="FFFFFF"/>
                              </a:solidFill>
                              <a:ln w="9525">
                                <a:solidFill>
                                  <a:srgbClr val="000000"/>
                                </a:solidFill>
                                <a:miter lim="800000"/>
                                <a:headEnd/>
                                <a:tailEnd/>
                              </a:ln>
                            </wps:spPr>
                            <wps:txbx>
                              <w:txbxContent>
                                <w:p w:rsidR="004E0BE9" w:rsidRPr="007E0533" w:rsidRDefault="004E0BE9" w:rsidP="00E22125">
                                  <w:pPr>
                                    <w:spacing w:after="120"/>
                                    <w:rPr>
                                      <w:sz w:val="16"/>
                                      <w:szCs w:val="16"/>
                                    </w:rPr>
                                  </w:pPr>
                                  <w:r>
                                    <w:rPr>
                                      <w:sz w:val="16"/>
                                      <w:highlight w:val="yellow"/>
                                    </w:rPr>
                                    <w:t>Comme le rapport entre les articles de la STI et la</w:t>
                                  </w:r>
                                  <w:r w:rsidR="00E22125">
                                    <w:rPr>
                                      <w:sz w:val="16"/>
                                      <w:highlight w:val="yellow"/>
                                    </w:rPr>
                                    <w:t> </w:t>
                                  </w:r>
                                  <w:r>
                                    <w:rPr>
                                      <w:sz w:val="16"/>
                                      <w:highlight w:val="yellow"/>
                                    </w:rPr>
                                    <w:t>Directive</w:t>
                                  </w:r>
                                  <w:r w:rsidR="00E22125">
                                    <w:rPr>
                                      <w:sz w:val="16"/>
                                      <w:highlight w:val="yellow"/>
                                    </w:rPr>
                                    <w:t> </w:t>
                                  </w:r>
                                  <w:r>
                                    <w:rPr>
                                      <w:sz w:val="16"/>
                                      <w:highlight w:val="yellow"/>
                                    </w:rPr>
                                    <w:t>2016/797 est reproduit dans la Section 3 de chaque STI, il n’est pas nécessaire, avec ce nouveau modèle, d’énumérer les exigences essentielles.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1ACE3" id="Text Box 8" o:spid="_x0000_s1029" type="#_x0000_t202" style="position:absolute;left:0;text-align:left;margin-left:-193.35pt;margin-top:-22.45pt;width:203.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EZLAIAAFc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">
                      <v:textbox>
                        <w:txbxContent>
                          <w:p w:rsidR="004E0BE9" w:rsidRPr="007E0533" w:rsidRDefault="004E0BE9" w:rsidP="00E22125">
                            <w:pPr>
                              <w:spacing w:after="120"/>
                              <w:rPr>
                                <w:sz w:val="16"/>
                                <w:szCs w:val="16"/>
                              </w:rPr>
                            </w:pPr>
                            <w:r>
                              <w:rPr>
                                <w:sz w:val="16"/>
                                <w:highlight w:val="yellow"/>
                              </w:rPr>
                              <w:t>Comme le rapport entre les articles de la STI et la</w:t>
                            </w:r>
                            <w:r w:rsidR="00E22125">
                              <w:rPr>
                                <w:sz w:val="16"/>
                                <w:highlight w:val="yellow"/>
                              </w:rPr>
                              <w:t> </w:t>
                            </w:r>
                            <w:r>
                              <w:rPr>
                                <w:sz w:val="16"/>
                                <w:highlight w:val="yellow"/>
                              </w:rPr>
                              <w:t>Directive</w:t>
                            </w:r>
                            <w:r w:rsidR="00E22125">
                              <w:rPr>
                                <w:sz w:val="16"/>
                                <w:highlight w:val="yellow"/>
                              </w:rPr>
                              <w:t> </w:t>
                            </w:r>
                            <w:r>
                              <w:rPr>
                                <w:sz w:val="16"/>
                                <w:highlight w:val="yellow"/>
                              </w:rPr>
                              <w:t>2016/797 est reproduit dans la Section 3 de chaque STI, il n’est pas nécessaire, avec ce nouveau modèle, d’énumérer les exigences essentielles.</w:t>
                            </w:r>
                          </w:p>
                        </w:txbxContent>
                      </v:textbox>
                    </v:shape>
                  </w:pict>
                </mc:Fallback>
              </mc:AlternateContent>
            </w:r>
          </w:p>
        </w:tc>
      </w:tr>
      <w:tr w:rsidR="004E0BE9" w:rsidRPr="00E8547B" w:rsidTr="00064F03">
        <w:trPr>
          <w:jc w:val="center"/>
        </w:trPr>
        <w:tc>
          <w:tcPr>
            <w:tcW w:w="1877" w:type="dxa"/>
            <w:vMerge/>
          </w:tcPr>
          <w:p w:rsidR="004E0BE9" w:rsidRPr="00E8547B" w:rsidRDefault="004E0BE9" w:rsidP="00891CE2">
            <w:pPr>
              <w:pStyle w:val="Tabletext10"/>
              <w:spacing w:before="40" w:after="40" w:line="240" w:lineRule="auto"/>
              <w:jc w:val="left"/>
              <w:rPr>
                <w:sz w:val="22"/>
                <w:szCs w:val="22"/>
              </w:rPr>
            </w:pPr>
          </w:p>
        </w:tc>
        <w:tc>
          <w:tcPr>
            <w:tcW w:w="3101" w:type="dxa"/>
          </w:tcPr>
          <w:p w:rsidR="004E0BE9" w:rsidRPr="00E8547B" w:rsidRDefault="004E0BE9" w:rsidP="00891CE2">
            <w:pPr>
              <w:autoSpaceDE w:val="0"/>
              <w:autoSpaceDN w:val="0"/>
              <w:adjustRightInd w:val="0"/>
              <w:spacing w:before="60" w:after="60"/>
              <w:rPr>
                <w:color w:val="000000"/>
              </w:rPr>
            </w:pPr>
          </w:p>
        </w:tc>
        <w:tc>
          <w:tcPr>
            <w:tcW w:w="2166" w:type="dxa"/>
          </w:tcPr>
          <w:p w:rsidR="004E0BE9" w:rsidRPr="00E8547B" w:rsidRDefault="004E0BE9" w:rsidP="00891CE2">
            <w:pPr>
              <w:autoSpaceDE w:val="0"/>
              <w:autoSpaceDN w:val="0"/>
              <w:adjustRightInd w:val="0"/>
            </w:pPr>
          </w:p>
        </w:tc>
        <w:tc>
          <w:tcPr>
            <w:tcW w:w="2392" w:type="dxa"/>
          </w:tcPr>
          <w:p w:rsidR="004E0BE9" w:rsidRPr="00E8547B" w:rsidRDefault="004E0BE9" w:rsidP="00891CE2">
            <w:pPr>
              <w:autoSpaceDE w:val="0"/>
              <w:autoSpaceDN w:val="0"/>
              <w:adjustRightInd w:val="0"/>
              <w:spacing w:before="60" w:after="60"/>
              <w:rPr>
                <w:color w:val="000000"/>
                <w:lang w:val="en-US"/>
              </w:rPr>
            </w:pPr>
          </w:p>
        </w:tc>
      </w:tr>
      <w:tr w:rsidR="004E0BE9" w:rsidRPr="00E8547B" w:rsidTr="00064F03">
        <w:trPr>
          <w:jc w:val="center"/>
        </w:trPr>
        <w:tc>
          <w:tcPr>
            <w:tcW w:w="1877" w:type="dxa"/>
            <w:vMerge/>
          </w:tcPr>
          <w:p w:rsidR="004E0BE9" w:rsidRPr="00E8547B" w:rsidRDefault="004E0BE9" w:rsidP="00891CE2">
            <w:pPr>
              <w:pStyle w:val="Tabletext10"/>
              <w:spacing w:before="40" w:after="40" w:line="240" w:lineRule="auto"/>
              <w:jc w:val="left"/>
              <w:rPr>
                <w:sz w:val="22"/>
                <w:szCs w:val="22"/>
              </w:rPr>
            </w:pPr>
          </w:p>
        </w:tc>
        <w:tc>
          <w:tcPr>
            <w:tcW w:w="3101" w:type="dxa"/>
          </w:tcPr>
          <w:p w:rsidR="004E0BE9" w:rsidRPr="00E8547B" w:rsidRDefault="008309F2" w:rsidP="00891CE2">
            <w:pPr>
              <w:autoSpaceDE w:val="0"/>
              <w:autoSpaceDN w:val="0"/>
              <w:adjustRightInd w:val="0"/>
              <w:spacing w:before="60" w:after="60"/>
              <w:rPr>
                <w:color w:val="000000"/>
              </w:rPr>
            </w:pPr>
            <w:r>
              <w:rPr>
                <w:noProof/>
                <w:color w:val="000000"/>
                <w:lang w:eastAsia="fr-FR"/>
              </w:rPr>
              <mc:AlternateContent>
                <mc:Choice Requires="wps">
                  <w:drawing>
                    <wp:anchor distT="0" distB="0" distL="114300" distR="114300" simplePos="0" relativeHeight="251667456" behindDoc="0" locked="0" layoutInCell="1" allowOverlap="1" wp14:anchorId="51DFBACA" wp14:editId="0F0DB2CC">
                      <wp:simplePos x="0" y="0"/>
                      <wp:positionH relativeFrom="column">
                        <wp:posOffset>302667</wp:posOffset>
                      </wp:positionH>
                      <wp:positionV relativeFrom="paragraph">
                        <wp:posOffset>-91176</wp:posOffset>
                      </wp:positionV>
                      <wp:extent cx="2829465" cy="560717"/>
                      <wp:effectExtent l="0" t="0" r="28575" b="1079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465" cy="560717"/>
                              </a:xfrm>
                              <a:prstGeom prst="rect">
                                <a:avLst/>
                              </a:prstGeom>
                              <a:solidFill>
                                <a:srgbClr val="FFFFFF"/>
                              </a:solidFill>
                              <a:ln w="9525">
                                <a:solidFill>
                                  <a:srgbClr val="000000"/>
                                </a:solidFill>
                                <a:miter lim="800000"/>
                                <a:headEnd/>
                                <a:tailEnd/>
                              </a:ln>
                            </wps:spPr>
                            <wps:txbx>
                              <w:txbxContent>
                                <w:p w:rsidR="004E0BE9" w:rsidRPr="007E0533" w:rsidRDefault="004E0BE9" w:rsidP="00E22125">
                                  <w:pPr>
                                    <w:spacing w:after="120"/>
                                    <w:rPr>
                                      <w:sz w:val="16"/>
                                      <w:szCs w:val="16"/>
                                    </w:rPr>
                                  </w:pPr>
                                  <w:r>
                                    <w:rPr>
                                      <w:sz w:val="16"/>
                                      <w:highlight w:val="yellow"/>
                                    </w:rPr>
                                    <w:t>Dans des circonstances exceptionnelles et après consultation de la CE et de l’ERA, il est admis d’établir un rapport entre les articles d’une norme et une exigence essentielle.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FBACA" id="Text Box 10" o:spid="_x0000_s1030" type="#_x0000_t202" style="position:absolute;left:0;text-align:left;margin-left:23.85pt;margin-top:-7.2pt;width:222.8pt;height:4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">
                      <v:textbox>
                        <w:txbxContent>
                          <w:p w:rsidR="004E0BE9" w:rsidRPr="007E0533" w:rsidRDefault="004E0BE9" w:rsidP="00E22125">
                            <w:pPr>
                              <w:spacing w:after="120"/>
                              <w:rPr>
                                <w:sz w:val="16"/>
                                <w:szCs w:val="16"/>
                              </w:rPr>
                            </w:pPr>
                            <w:r>
                              <w:rPr>
                                <w:sz w:val="16"/>
                                <w:highlight w:val="yellow"/>
                              </w:rPr>
                              <w:t>Dans des circonstances exceptionnelles et après consultation de la CE et de l’ERA, il est admis d’établir un rapport entre les articles d’une norme et une exigence essentielle.</w:t>
                            </w:r>
                          </w:p>
                        </w:txbxContent>
                      </v:textbox>
                    </v:shape>
                  </w:pict>
                </mc:Fallback>
              </mc:AlternateContent>
            </w:r>
          </w:p>
        </w:tc>
        <w:tc>
          <w:tcPr>
            <w:tcW w:w="2166" w:type="dxa"/>
          </w:tcPr>
          <w:p w:rsidR="004E0BE9" w:rsidRPr="00E8547B" w:rsidRDefault="004E0BE9" w:rsidP="00891CE2">
            <w:pPr>
              <w:autoSpaceDE w:val="0"/>
              <w:autoSpaceDN w:val="0"/>
              <w:adjustRightInd w:val="0"/>
            </w:pPr>
          </w:p>
        </w:tc>
        <w:tc>
          <w:tcPr>
            <w:tcW w:w="2392" w:type="dxa"/>
          </w:tcPr>
          <w:p w:rsidR="004E0BE9" w:rsidRPr="00E8547B" w:rsidRDefault="004E0BE9" w:rsidP="00891CE2">
            <w:pPr>
              <w:autoSpaceDE w:val="0"/>
              <w:autoSpaceDN w:val="0"/>
              <w:adjustRightInd w:val="0"/>
              <w:spacing w:before="60" w:after="60"/>
              <w:rPr>
                <w:color w:val="000000"/>
                <w:lang w:val="en-US"/>
              </w:rPr>
            </w:pPr>
          </w:p>
        </w:tc>
      </w:tr>
      <w:tr w:rsidR="004E0BE9" w:rsidRPr="00E8547B" w:rsidTr="00064F03">
        <w:trPr>
          <w:jc w:val="center"/>
        </w:trPr>
        <w:tc>
          <w:tcPr>
            <w:tcW w:w="1877" w:type="dxa"/>
          </w:tcPr>
          <w:p w:rsidR="004E0BE9" w:rsidRPr="00E8547B" w:rsidRDefault="00E22125" w:rsidP="00891CE2">
            <w:pPr>
              <w:pStyle w:val="Tabletext10"/>
              <w:spacing w:before="40" w:after="40" w:line="240" w:lineRule="auto"/>
              <w:jc w:val="left"/>
              <w:rPr>
                <w:sz w:val="22"/>
                <w:szCs w:val="22"/>
              </w:rPr>
            </w:pPr>
            <w:r>
              <w:rPr>
                <w:noProof/>
                <w:lang w:eastAsia="fr-FR"/>
              </w:rPr>
              <mc:AlternateContent>
                <mc:Choice Requires="wps">
                  <w:drawing>
                    <wp:anchor distT="0" distB="0" distL="114300" distR="114300" simplePos="0" relativeHeight="251677696" behindDoc="0" locked="0" layoutInCell="1" allowOverlap="1" wp14:anchorId="1B9106AA" wp14:editId="25B97755">
                      <wp:simplePos x="0" y="0"/>
                      <wp:positionH relativeFrom="column">
                        <wp:posOffset>399008</wp:posOffset>
                      </wp:positionH>
                      <wp:positionV relativeFrom="paragraph">
                        <wp:posOffset>-378641</wp:posOffset>
                      </wp:positionV>
                      <wp:extent cx="1078302" cy="465827"/>
                      <wp:effectExtent l="38100" t="0" r="26670" b="6794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8302" cy="4658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C432F" id="Connecteur droit avec flèche 10" o:spid="_x0000_s1026" type="#_x0000_t32" style="position:absolute;margin-left:31.4pt;margin-top:-29.8pt;width:84.9pt;height:36.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">
                      <v:stroke endarrow="block"/>
                    </v:shape>
                  </w:pict>
                </mc:Fallback>
              </mc:AlternateContent>
            </w:r>
            <w:r w:rsidR="004E0BE9">
              <w:rPr>
                <w:sz w:val="22"/>
                <w:highlight w:val="yellow"/>
              </w:rPr>
              <w:t>EE x y ...</w:t>
            </w:r>
            <w:r>
              <w:rPr>
                <w:noProof/>
                <w:lang w:eastAsia="fr-FR"/>
              </w:rPr>
              <w:t xml:space="preserve"> </w:t>
            </w:r>
          </w:p>
        </w:tc>
        <w:tc>
          <w:tcPr>
            <w:tcW w:w="3101" w:type="dxa"/>
          </w:tcPr>
          <w:p w:rsidR="004E0BE9" w:rsidRPr="00E22125" w:rsidRDefault="004E0BE9" w:rsidP="00891CE2">
            <w:pPr>
              <w:autoSpaceDE w:val="0"/>
              <w:autoSpaceDN w:val="0"/>
              <w:adjustRightInd w:val="0"/>
              <w:spacing w:before="60" w:after="60"/>
              <w:rPr>
                <w:color w:val="000000"/>
                <w:sz w:val="20"/>
                <w:szCs w:val="20"/>
              </w:rPr>
            </w:pPr>
            <w:r w:rsidRPr="00E22125">
              <w:rPr>
                <w:color w:val="000000"/>
                <w:sz w:val="20"/>
                <w:szCs w:val="20"/>
              </w:rPr>
              <w:t>Pas de présomption de conformité à un article spécifique de la STI.</w:t>
            </w:r>
          </w:p>
          <w:p w:rsidR="004E0BE9" w:rsidRPr="00E22125" w:rsidRDefault="004E0BE9" w:rsidP="00891CE2">
            <w:pPr>
              <w:autoSpaceDE w:val="0"/>
              <w:autoSpaceDN w:val="0"/>
              <w:adjustRightInd w:val="0"/>
              <w:spacing w:before="60" w:after="60"/>
              <w:rPr>
                <w:color w:val="000000"/>
                <w:sz w:val="20"/>
                <w:szCs w:val="20"/>
              </w:rPr>
            </w:pPr>
            <w:r w:rsidRPr="00E22125">
              <w:rPr>
                <w:color w:val="000000"/>
                <w:sz w:val="20"/>
                <w:szCs w:val="20"/>
              </w:rPr>
              <w:t>ou</w:t>
            </w:r>
          </w:p>
          <w:p w:rsidR="004E0BE9" w:rsidRPr="00E8547B" w:rsidRDefault="004E0BE9" w:rsidP="00891CE2">
            <w:pPr>
              <w:autoSpaceDE w:val="0"/>
              <w:autoSpaceDN w:val="0"/>
              <w:adjustRightInd w:val="0"/>
              <w:spacing w:before="60" w:after="60"/>
              <w:rPr>
                <w:color w:val="000000"/>
              </w:rPr>
            </w:pPr>
            <w:r w:rsidRPr="00E22125">
              <w:rPr>
                <w:color w:val="000000"/>
                <w:sz w:val="20"/>
                <w:szCs w:val="20"/>
              </w:rPr>
              <w:t>N’est pas explicitement couverte par la STI.</w:t>
            </w:r>
          </w:p>
        </w:tc>
        <w:tc>
          <w:tcPr>
            <w:tcW w:w="2166" w:type="dxa"/>
          </w:tcPr>
          <w:p w:rsidR="004E0BE9" w:rsidRPr="00E8547B" w:rsidRDefault="004E0BE9" w:rsidP="00891CE2">
            <w:pPr>
              <w:autoSpaceDE w:val="0"/>
              <w:autoSpaceDN w:val="0"/>
              <w:adjustRightInd w:val="0"/>
            </w:pPr>
          </w:p>
        </w:tc>
        <w:tc>
          <w:tcPr>
            <w:tcW w:w="2392" w:type="dxa"/>
          </w:tcPr>
          <w:p w:rsidR="004E0BE9" w:rsidRPr="00E8547B" w:rsidRDefault="004E0BE9" w:rsidP="00891CE2">
            <w:pPr>
              <w:autoSpaceDE w:val="0"/>
              <w:autoSpaceDN w:val="0"/>
              <w:adjustRightInd w:val="0"/>
              <w:spacing w:before="60" w:after="60"/>
              <w:rPr>
                <w:color w:val="000000"/>
                <w:lang w:val="en-US"/>
              </w:rPr>
            </w:pPr>
          </w:p>
        </w:tc>
      </w:tr>
    </w:tbl>
    <w:p w:rsidR="004E0BE9" w:rsidRDefault="004E0BE9" w:rsidP="00015822">
      <w:pPr>
        <w:spacing w:before="240"/>
        <w:rPr>
          <w:rFonts w:eastAsia="Cambria" w:cs="Cambria"/>
        </w:rPr>
      </w:pPr>
      <w:r>
        <w:rPr>
          <w:b/>
          <w:bCs/>
        </w:rPr>
        <w:t>AVERTISSEMENT</w:t>
      </w:r>
      <w:r w:rsidR="00015822">
        <w:rPr>
          <w:b/>
          <w:bCs/>
        </w:rPr>
        <w:t> </w:t>
      </w:r>
      <w:r>
        <w:rPr>
          <w:b/>
          <w:bCs/>
        </w:rPr>
        <w:t>1</w:t>
      </w:r>
      <w:r>
        <w:t xml:space="preserve"> — 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w:t>
      </w:r>
      <w:r w:rsidR="003E05BD">
        <w:t>officiel de l'Union européenne.</w:t>
      </w:r>
      <w:bookmarkStart w:id="0" w:name="_GoBack"/>
      <w:bookmarkEnd w:id="0"/>
    </w:p>
    <w:p w:rsidR="004E0BE9" w:rsidRPr="005D4768" w:rsidRDefault="00D35EEE" w:rsidP="00015822">
      <w:pPr>
        <w:rPr>
          <w:b/>
          <w:szCs w:val="24"/>
        </w:rPr>
      </w:pPr>
      <w:r w:rsidRPr="00015822">
        <w:rPr>
          <w:b/>
          <w:bCs/>
        </w:rPr>
        <w:t>AVERTISSEMENT</w:t>
      </w:r>
      <w:r w:rsidR="00015822">
        <w:rPr>
          <w:b/>
        </w:rPr>
        <w:t> </w:t>
      </w:r>
      <w:r w:rsidRPr="00015822">
        <w:rPr>
          <w:b/>
          <w:bCs/>
        </w:rPr>
        <w:t>2</w:t>
      </w:r>
      <w:r>
        <w:t xml:space="preserve"> — </w:t>
      </w:r>
      <w:r w:rsidRPr="005D4768">
        <w:t>D'autres dispositions de la législation de l’Union européenne peuvent être applicables aux produits relevant du domaine d'application de la présente norme.</w:t>
      </w:r>
    </w:p>
    <w:p w:rsidR="0044338C" w:rsidRDefault="002E616F">
      <w:pPr>
        <w:spacing w:after="160" w:line="259" w:lineRule="auto"/>
        <w:rPr>
          <w:b/>
          <w:szCs w:val="24"/>
        </w:rPr>
      </w:pPr>
      <w:r>
        <w:rPr>
          <w:noProof/>
          <w:lang w:eastAsia="fr-FR"/>
        </w:rPr>
        <mc:AlternateContent>
          <mc:Choice Requires="wps">
            <w:drawing>
              <wp:anchor distT="0" distB="0" distL="114300" distR="114300" simplePos="0" relativeHeight="251681792" behindDoc="0" locked="0" layoutInCell="1" allowOverlap="1" wp14:anchorId="08549290" wp14:editId="2F875D7A">
                <wp:simplePos x="0" y="0"/>
                <wp:positionH relativeFrom="column">
                  <wp:posOffset>62865</wp:posOffset>
                </wp:positionH>
                <wp:positionV relativeFrom="paragraph">
                  <wp:posOffset>1530350</wp:posOffset>
                </wp:positionV>
                <wp:extent cx="888365" cy="697865"/>
                <wp:effectExtent l="38100" t="0" r="26035" b="64135"/>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697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22355" id="Connecteur droit avec flèche 13" o:spid="_x0000_s1026" type="#_x0000_t32" style="position:absolute;margin-left:4.95pt;margin-top:120.5pt;width:69.95pt;height:54.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">
                <v:stroke endarrow="block"/>
              </v:shape>
            </w:pict>
          </mc:Fallback>
        </mc:AlternateContent>
      </w:r>
      <w:r>
        <w:rPr>
          <w:noProof/>
          <w:color w:val="000000"/>
          <w:lang w:eastAsia="fr-FR"/>
        </w:rPr>
        <mc:AlternateContent>
          <mc:Choice Requires="wps">
            <w:drawing>
              <wp:anchor distT="0" distB="0" distL="114300" distR="114300" simplePos="0" relativeHeight="251679744" behindDoc="0" locked="0" layoutInCell="1" allowOverlap="1" wp14:anchorId="5AAD794B" wp14:editId="4C131A3F">
                <wp:simplePos x="0" y="0"/>
                <wp:positionH relativeFrom="column">
                  <wp:posOffset>950595</wp:posOffset>
                </wp:positionH>
                <wp:positionV relativeFrom="paragraph">
                  <wp:posOffset>1265184</wp:posOffset>
                </wp:positionV>
                <wp:extent cx="2828925" cy="560705"/>
                <wp:effectExtent l="0" t="0" r="28575" b="1079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60705"/>
                        </a:xfrm>
                        <a:prstGeom prst="rect">
                          <a:avLst/>
                        </a:prstGeom>
                        <a:solidFill>
                          <a:srgbClr val="FFFFFF"/>
                        </a:solidFill>
                        <a:ln w="9525">
                          <a:solidFill>
                            <a:srgbClr val="000000"/>
                          </a:solidFill>
                          <a:miter lim="800000"/>
                          <a:headEnd/>
                          <a:tailEnd/>
                        </a:ln>
                      </wps:spPr>
                      <wps:txbx>
                        <w:txbxContent>
                          <w:p w:rsidR="00E22125" w:rsidRPr="007E0533" w:rsidRDefault="00E22125" w:rsidP="00E22125">
                            <w:pPr>
                              <w:spacing w:after="120"/>
                              <w:rPr>
                                <w:sz w:val="16"/>
                                <w:szCs w:val="16"/>
                              </w:rPr>
                            </w:pPr>
                            <w:r w:rsidRPr="00121CA9">
                              <w:rPr>
                                <w:sz w:val="16"/>
                                <w:highlight w:val="yellow"/>
                              </w:rPr>
                              <w:t>La référence à l’Amendement pertinent de la STI est extraite du Tableau 1, colonne (c) sur la base de l’entrée sélectionnée dans le Tableau 1, colonne (a)</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D794B" id="_x0000_s1031" type="#_x0000_t202" style="position:absolute;left:0;text-align:left;margin-left:74.85pt;margin-top:99.6pt;width:222.75pt;height:4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">
                <v:textbox>
                  <w:txbxContent>
                    <w:p w:rsidR="00E22125" w:rsidRPr="007E0533" w:rsidRDefault="00E22125" w:rsidP="00E22125">
                      <w:pPr>
                        <w:spacing w:after="120"/>
                        <w:rPr>
                          <w:sz w:val="16"/>
                          <w:szCs w:val="16"/>
                        </w:rPr>
                      </w:pPr>
                      <w:r w:rsidRPr="00121CA9">
                        <w:rPr>
                          <w:sz w:val="16"/>
                          <w:highlight w:val="yellow"/>
                        </w:rPr>
                        <w:t>La référence à l’Amendement pertinent de la STI est extraite du Tableau 1, colonne (c) sur la base de l’entrée sélectionnée dans le Tableau 1, colonne (a)</w:t>
                      </w:r>
                      <w:r>
                        <w:rPr>
                          <w:sz w:val="16"/>
                        </w:rPr>
                        <w:t>.</w:t>
                      </w:r>
                    </w:p>
                  </w:txbxContent>
                </v:textbox>
              </v:shape>
            </w:pict>
          </mc:Fallback>
        </mc:AlternateContent>
      </w:r>
      <w:r w:rsidR="0044338C">
        <w:rPr>
          <w:szCs w:val="24"/>
        </w:rPr>
        <w:br w:type="page"/>
      </w:r>
    </w:p>
    <w:tbl>
      <w:tblPr>
        <w:tblStyle w:val="Grilledutableau"/>
        <w:tblW w:w="9921" w:type="dxa"/>
        <w:tblInd w:w="-284" w:type="dxa"/>
        <w:tblLayout w:type="fixed"/>
        <w:tblLook w:val="04A0" w:firstRow="1" w:lastRow="0" w:firstColumn="1" w:lastColumn="0" w:noHBand="0" w:noVBand="1"/>
      </w:tblPr>
      <w:tblGrid>
        <w:gridCol w:w="3742"/>
        <w:gridCol w:w="2551"/>
        <w:gridCol w:w="3628"/>
      </w:tblGrid>
      <w:tr w:rsidR="008B5FC2" w:rsidTr="000418BF">
        <w:trPr>
          <w:tblHeader/>
        </w:trPr>
        <w:tc>
          <w:tcPr>
            <w:tcW w:w="3742" w:type="dxa"/>
          </w:tcPr>
          <w:p w:rsidR="005D4768" w:rsidRPr="00015822" w:rsidRDefault="005D4768" w:rsidP="00015822">
            <w:pPr>
              <w:pStyle w:val="Corpsdetexte"/>
              <w:spacing w:before="60" w:after="60"/>
              <w:jc w:val="center"/>
              <w:rPr>
                <w:b/>
                <w:sz w:val="20"/>
              </w:rPr>
            </w:pPr>
            <w:r w:rsidRPr="00015822">
              <w:rPr>
                <w:b/>
                <w:sz w:val="20"/>
              </w:rPr>
              <w:lastRenderedPageBreak/>
              <w:t>Référence STI</w:t>
            </w:r>
            <w:r w:rsidR="00015822" w:rsidRPr="00015822">
              <w:rPr>
                <w:b/>
                <w:sz w:val="20"/>
              </w:rPr>
              <w:t> </w:t>
            </w:r>
            <w:r w:rsidRPr="00015822">
              <w:rPr>
                <w:b/>
                <w:sz w:val="20"/>
              </w:rPr>
              <w:t>(a)</w:t>
            </w:r>
          </w:p>
        </w:tc>
        <w:tc>
          <w:tcPr>
            <w:tcW w:w="2551" w:type="dxa"/>
          </w:tcPr>
          <w:p w:rsidR="005D4768" w:rsidRPr="00015822" w:rsidRDefault="005D4768" w:rsidP="00015822">
            <w:pPr>
              <w:pStyle w:val="Corpsdetexte"/>
              <w:spacing w:before="60" w:after="60"/>
              <w:jc w:val="center"/>
              <w:rPr>
                <w:b/>
                <w:sz w:val="20"/>
              </w:rPr>
            </w:pPr>
            <w:r w:rsidRPr="00015822">
              <w:rPr>
                <w:b/>
                <w:sz w:val="20"/>
              </w:rPr>
              <w:t>Appendice de la STI contenant les articles des normes obligatoires</w:t>
            </w:r>
            <w:r w:rsidR="00015822" w:rsidRPr="00015822">
              <w:rPr>
                <w:b/>
                <w:sz w:val="20"/>
              </w:rPr>
              <w:t> </w:t>
            </w:r>
            <w:r w:rsidRPr="00015822">
              <w:rPr>
                <w:b/>
                <w:sz w:val="20"/>
              </w:rPr>
              <w:t>(b)</w:t>
            </w:r>
          </w:p>
        </w:tc>
        <w:tc>
          <w:tcPr>
            <w:tcW w:w="3628" w:type="dxa"/>
          </w:tcPr>
          <w:p w:rsidR="005D4768" w:rsidRPr="00015822" w:rsidRDefault="005D4768" w:rsidP="00015822">
            <w:pPr>
              <w:pStyle w:val="Corpsdetexte"/>
              <w:spacing w:before="60" w:after="60"/>
              <w:jc w:val="center"/>
              <w:rPr>
                <w:b/>
                <w:sz w:val="20"/>
              </w:rPr>
            </w:pPr>
            <w:r w:rsidRPr="00015822">
              <w:rPr>
                <w:b/>
                <w:sz w:val="20"/>
              </w:rPr>
              <w:t>Amendements de la STI</w:t>
            </w:r>
            <w:r w:rsidR="00015822" w:rsidRPr="00015822">
              <w:rPr>
                <w:b/>
                <w:sz w:val="20"/>
              </w:rPr>
              <w:t> </w:t>
            </w:r>
            <w:r w:rsidRPr="00015822">
              <w:rPr>
                <w:b/>
                <w:sz w:val="20"/>
              </w:rPr>
              <w:t>(c)</w:t>
            </w:r>
          </w:p>
        </w:tc>
      </w:tr>
      <w:tr w:rsidR="008B5FC2" w:rsidTr="000418BF">
        <w:tc>
          <w:tcPr>
            <w:tcW w:w="3742" w:type="dxa"/>
          </w:tcPr>
          <w:p w:rsidR="005D4768" w:rsidRPr="00015822" w:rsidRDefault="005D4768" w:rsidP="000418BF">
            <w:pPr>
              <w:pStyle w:val="Corpsdetexte"/>
              <w:spacing w:before="60" w:after="60"/>
              <w:jc w:val="left"/>
              <w:rPr>
                <w:sz w:val="20"/>
              </w:rPr>
            </w:pPr>
            <w:r w:rsidRPr="00015822">
              <w:rPr>
                <w:sz w:val="20"/>
              </w:rPr>
              <w:t>N 321/2013 relatif à la spécification technique d’interopérabilité (STI) concernant le sous-système « Matériel roulant— wagons pour le fret » du système ferroviaire dans l’Union européenne* et …</w:t>
            </w:r>
          </w:p>
        </w:tc>
        <w:tc>
          <w:tcPr>
            <w:tcW w:w="2551" w:type="dxa"/>
          </w:tcPr>
          <w:p w:rsidR="005D4768" w:rsidRPr="00015822" w:rsidRDefault="005D4768" w:rsidP="00015822">
            <w:pPr>
              <w:pStyle w:val="Corpsdetexte"/>
              <w:spacing w:before="60" w:after="60"/>
              <w:jc w:val="center"/>
              <w:rPr>
                <w:sz w:val="20"/>
              </w:rPr>
            </w:pPr>
            <w:r w:rsidRPr="00015822">
              <w:rPr>
                <w:sz w:val="20"/>
              </w:rPr>
              <w:t>D</w:t>
            </w:r>
          </w:p>
        </w:tc>
        <w:tc>
          <w:tcPr>
            <w:tcW w:w="3628" w:type="dxa"/>
          </w:tcPr>
          <w:p w:rsidR="005D4768" w:rsidRPr="00015822" w:rsidRDefault="005D4768" w:rsidP="008B5FC2">
            <w:pPr>
              <w:pStyle w:val="Corpsdetexte"/>
              <w:spacing w:before="60" w:after="60"/>
              <w:jc w:val="left"/>
              <w:rPr>
                <w:sz w:val="20"/>
              </w:rPr>
            </w:pPr>
            <w:r w:rsidRPr="00015822">
              <w:rPr>
                <w:sz w:val="20"/>
              </w:rPr>
              <w:t>Comme modifié par le Règlement</w:t>
            </w:r>
            <w:r w:rsidR="008B5FC2">
              <w:rPr>
                <w:sz w:val="20"/>
              </w:rPr>
              <w:t> </w:t>
            </w:r>
            <w:r w:rsidRPr="00015822">
              <w:rPr>
                <w:sz w:val="20"/>
              </w:rPr>
              <w:t>(UE)</w:t>
            </w:r>
            <w:r w:rsidR="008B5FC2">
              <w:rPr>
                <w:sz w:val="20"/>
              </w:rPr>
              <w:t> </w:t>
            </w:r>
            <w:r w:rsidRPr="00015822">
              <w:rPr>
                <w:sz w:val="20"/>
              </w:rPr>
              <w:t>N°</w:t>
            </w:r>
            <w:r w:rsidR="008B5FC2">
              <w:rPr>
                <w:sz w:val="20"/>
              </w:rPr>
              <w:t> </w:t>
            </w:r>
            <w:r w:rsidRPr="00015822">
              <w:rPr>
                <w:sz w:val="20"/>
              </w:rPr>
              <w:t>1236/2013 de la Commission, le Règlement</w:t>
            </w:r>
            <w:r w:rsidR="00015822" w:rsidRPr="00015822">
              <w:rPr>
                <w:sz w:val="20"/>
              </w:rPr>
              <w:t> </w:t>
            </w:r>
            <w:r w:rsidRPr="00015822">
              <w:rPr>
                <w:sz w:val="20"/>
              </w:rPr>
              <w:t>(UE)</w:t>
            </w:r>
            <w:r w:rsidR="00015822" w:rsidRPr="00015822">
              <w:rPr>
                <w:sz w:val="20"/>
              </w:rPr>
              <w:t> </w:t>
            </w:r>
            <w:r w:rsidRPr="00015822">
              <w:rPr>
                <w:sz w:val="20"/>
              </w:rPr>
              <w:t>N°</w:t>
            </w:r>
            <w:r w:rsidR="00015822" w:rsidRPr="00015822">
              <w:rPr>
                <w:sz w:val="20"/>
              </w:rPr>
              <w:t> </w:t>
            </w:r>
            <w:r w:rsidRPr="00015822">
              <w:rPr>
                <w:sz w:val="20"/>
              </w:rPr>
              <w:t>2015/924 de la Commission, le Règlement d’exécution</w:t>
            </w:r>
            <w:r w:rsidR="008B5FC2">
              <w:rPr>
                <w:sz w:val="20"/>
              </w:rPr>
              <w:t> </w:t>
            </w:r>
            <w:r w:rsidRPr="00015822">
              <w:rPr>
                <w:sz w:val="20"/>
              </w:rPr>
              <w:t>(UE)</w:t>
            </w:r>
            <w:r w:rsidR="008B5FC2">
              <w:rPr>
                <w:sz w:val="20"/>
              </w:rPr>
              <w:t> </w:t>
            </w:r>
            <w:r w:rsidRPr="00015822">
              <w:rPr>
                <w:sz w:val="20"/>
              </w:rPr>
              <w:t>N°</w:t>
            </w:r>
            <w:r w:rsidR="008B5FC2">
              <w:rPr>
                <w:sz w:val="20"/>
              </w:rPr>
              <w:t> </w:t>
            </w:r>
            <w:r w:rsidRPr="00015822">
              <w:rPr>
                <w:sz w:val="20"/>
              </w:rPr>
              <w:t>2019/776 de la Commission et le Règlement d’exécution</w:t>
            </w:r>
            <w:r w:rsidR="008B5FC2">
              <w:rPr>
                <w:sz w:val="20"/>
              </w:rPr>
              <w:t> </w:t>
            </w:r>
            <w:r w:rsidRPr="00015822">
              <w:rPr>
                <w:sz w:val="20"/>
              </w:rPr>
              <w:t>(UE)</w:t>
            </w:r>
            <w:r w:rsidR="008B5FC2">
              <w:rPr>
                <w:sz w:val="20"/>
              </w:rPr>
              <w:t> </w:t>
            </w:r>
            <w:r w:rsidRPr="00015822">
              <w:rPr>
                <w:sz w:val="20"/>
              </w:rPr>
              <w:t>N° 2020/387 de la Commission</w:t>
            </w:r>
          </w:p>
        </w:tc>
      </w:tr>
      <w:tr w:rsidR="008B5FC2" w:rsidTr="000418BF">
        <w:tc>
          <w:tcPr>
            <w:tcW w:w="3742" w:type="dxa"/>
          </w:tcPr>
          <w:p w:rsidR="005D4768" w:rsidRPr="00015822" w:rsidRDefault="005D4768" w:rsidP="000418BF">
            <w:pPr>
              <w:spacing w:before="60" w:after="60"/>
              <w:jc w:val="left"/>
              <w:rPr>
                <w:sz w:val="20"/>
              </w:rPr>
            </w:pPr>
            <w:r w:rsidRPr="00015822">
              <w:rPr>
                <w:sz w:val="20"/>
              </w:rPr>
              <w:t>N° 1299/2014 concernant les spécifications techniques d'interopérabilité relatives au sous</w:t>
            </w:r>
            <w:r w:rsidR="008B5FC2">
              <w:rPr>
                <w:sz w:val="20"/>
              </w:rPr>
              <w:noBreakHyphen/>
            </w:r>
            <w:r w:rsidRPr="00015822">
              <w:rPr>
                <w:sz w:val="20"/>
              </w:rPr>
              <w:t>système «Infrastructure» du système ferroviaire dans l'Union européenne* et ...</w:t>
            </w:r>
          </w:p>
        </w:tc>
        <w:tc>
          <w:tcPr>
            <w:tcW w:w="2551" w:type="dxa"/>
          </w:tcPr>
          <w:p w:rsidR="005D4768" w:rsidRPr="00015822" w:rsidRDefault="005D4768" w:rsidP="00015822">
            <w:pPr>
              <w:pStyle w:val="Corpsdetexte"/>
              <w:spacing w:before="60" w:after="60"/>
              <w:jc w:val="center"/>
              <w:rPr>
                <w:sz w:val="20"/>
              </w:rPr>
            </w:pPr>
            <w:r w:rsidRPr="00015822">
              <w:rPr>
                <w:sz w:val="20"/>
              </w:rPr>
              <w:t>T</w:t>
            </w:r>
          </w:p>
        </w:tc>
        <w:tc>
          <w:tcPr>
            <w:tcW w:w="3628" w:type="dxa"/>
          </w:tcPr>
          <w:p w:rsidR="005D4768" w:rsidRPr="00015822" w:rsidRDefault="005D4768" w:rsidP="008B5FC2">
            <w:pPr>
              <w:pStyle w:val="Corpsdetexte"/>
              <w:spacing w:before="60" w:after="60"/>
              <w:jc w:val="left"/>
              <w:rPr>
                <w:sz w:val="20"/>
              </w:rPr>
            </w:pPr>
            <w:r w:rsidRPr="00015822">
              <w:rPr>
                <w:sz w:val="20"/>
              </w:rPr>
              <w:t>Comme modifié par le Règlement d’exécution</w:t>
            </w:r>
            <w:r w:rsidR="008B5FC2">
              <w:rPr>
                <w:sz w:val="20"/>
              </w:rPr>
              <w:t> </w:t>
            </w:r>
            <w:r w:rsidRPr="00015822">
              <w:rPr>
                <w:sz w:val="20"/>
              </w:rPr>
              <w:t>(UE)</w:t>
            </w:r>
            <w:r w:rsidR="008B5FC2">
              <w:rPr>
                <w:sz w:val="20"/>
              </w:rPr>
              <w:t> </w:t>
            </w:r>
            <w:r w:rsidRPr="00015822">
              <w:rPr>
                <w:sz w:val="20"/>
              </w:rPr>
              <w:t>N° 2019/776 de la Commission</w:t>
            </w:r>
          </w:p>
        </w:tc>
      </w:tr>
      <w:tr w:rsidR="008B5FC2" w:rsidTr="000418BF">
        <w:tc>
          <w:tcPr>
            <w:tcW w:w="3742" w:type="dxa"/>
          </w:tcPr>
          <w:p w:rsidR="005D4768" w:rsidRPr="00015822" w:rsidRDefault="005D4768" w:rsidP="000418BF">
            <w:pPr>
              <w:pStyle w:val="Corpsdetexte"/>
              <w:spacing w:before="60" w:after="60"/>
              <w:jc w:val="left"/>
              <w:rPr>
                <w:sz w:val="20"/>
              </w:rPr>
            </w:pPr>
            <w:r w:rsidRPr="00015822">
              <w:rPr>
                <w:sz w:val="20"/>
              </w:rPr>
              <w:t>N° 1300/2014 sur les spécifications techniques d’interopérabilité relatives à l’accessibilité du système ferroviaire de l’Union pour les personnes handicapées et les personnes à mobilité réduite* et …</w:t>
            </w:r>
          </w:p>
        </w:tc>
        <w:tc>
          <w:tcPr>
            <w:tcW w:w="2551" w:type="dxa"/>
          </w:tcPr>
          <w:p w:rsidR="005D4768" w:rsidRPr="00015822" w:rsidRDefault="005D4768" w:rsidP="00015822">
            <w:pPr>
              <w:pStyle w:val="Corpsdetexte"/>
              <w:spacing w:before="60" w:after="60"/>
              <w:jc w:val="center"/>
              <w:rPr>
                <w:sz w:val="20"/>
              </w:rPr>
            </w:pPr>
            <w:r w:rsidRPr="00015822">
              <w:rPr>
                <w:sz w:val="20"/>
              </w:rPr>
              <w:t>A</w:t>
            </w:r>
          </w:p>
        </w:tc>
        <w:tc>
          <w:tcPr>
            <w:tcW w:w="3628" w:type="dxa"/>
          </w:tcPr>
          <w:p w:rsidR="005D4768" w:rsidRPr="00015822" w:rsidRDefault="005D4768" w:rsidP="008B5FC2">
            <w:pPr>
              <w:pStyle w:val="Corpsdetexte"/>
              <w:spacing w:before="60" w:after="60"/>
              <w:jc w:val="left"/>
              <w:rPr>
                <w:sz w:val="20"/>
              </w:rPr>
            </w:pPr>
            <w:r w:rsidRPr="00015822">
              <w:rPr>
                <w:sz w:val="20"/>
              </w:rPr>
              <w:t>Comme modifié par le Règlement d’exécution</w:t>
            </w:r>
            <w:r w:rsidR="008B5FC2">
              <w:rPr>
                <w:sz w:val="20"/>
              </w:rPr>
              <w:t> </w:t>
            </w:r>
            <w:r w:rsidRPr="00015822">
              <w:rPr>
                <w:sz w:val="20"/>
              </w:rPr>
              <w:t>(UE)</w:t>
            </w:r>
            <w:r w:rsidR="008B5FC2">
              <w:rPr>
                <w:sz w:val="20"/>
              </w:rPr>
              <w:t> </w:t>
            </w:r>
            <w:r w:rsidRPr="00015822">
              <w:rPr>
                <w:sz w:val="20"/>
              </w:rPr>
              <w:t>N° 2019/772 de la Commission</w:t>
            </w:r>
          </w:p>
        </w:tc>
      </w:tr>
      <w:tr w:rsidR="008B5FC2" w:rsidTr="000418BF">
        <w:tc>
          <w:tcPr>
            <w:tcW w:w="3742" w:type="dxa"/>
          </w:tcPr>
          <w:p w:rsidR="005D4768" w:rsidRPr="00015822" w:rsidRDefault="005D4768" w:rsidP="000418BF">
            <w:pPr>
              <w:pStyle w:val="Corpsdetexte"/>
              <w:spacing w:before="60" w:after="60"/>
              <w:jc w:val="left"/>
              <w:rPr>
                <w:sz w:val="20"/>
              </w:rPr>
            </w:pPr>
            <w:r w:rsidRPr="00015822">
              <w:rPr>
                <w:sz w:val="20"/>
              </w:rPr>
              <w:t>N° 1301/2014 concernant les spécifications techniques d’interopérabilité relatives au sous-système « énergie » du système ferroviaire de l’Union* et …</w:t>
            </w:r>
          </w:p>
        </w:tc>
        <w:tc>
          <w:tcPr>
            <w:tcW w:w="2551" w:type="dxa"/>
          </w:tcPr>
          <w:p w:rsidR="005D4768" w:rsidRPr="00015822" w:rsidRDefault="005D4768" w:rsidP="00015822">
            <w:pPr>
              <w:pStyle w:val="Corpsdetexte"/>
              <w:spacing w:before="60" w:after="60"/>
              <w:jc w:val="center"/>
              <w:rPr>
                <w:sz w:val="20"/>
              </w:rPr>
            </w:pPr>
            <w:r w:rsidRPr="00015822">
              <w:rPr>
                <w:sz w:val="20"/>
              </w:rPr>
              <w:t>E</w:t>
            </w:r>
          </w:p>
        </w:tc>
        <w:tc>
          <w:tcPr>
            <w:tcW w:w="3628" w:type="dxa"/>
          </w:tcPr>
          <w:p w:rsidR="005D4768" w:rsidRPr="00015822" w:rsidRDefault="005D4768" w:rsidP="008B5FC2">
            <w:pPr>
              <w:pStyle w:val="Corpsdetexte"/>
              <w:spacing w:before="60" w:after="60"/>
              <w:jc w:val="left"/>
              <w:rPr>
                <w:sz w:val="20"/>
              </w:rPr>
            </w:pPr>
            <w:r w:rsidRPr="00015822">
              <w:rPr>
                <w:sz w:val="20"/>
              </w:rPr>
              <w:t>Comme modifié par le Règlement d’exécution</w:t>
            </w:r>
            <w:r w:rsidR="008B5FC2">
              <w:rPr>
                <w:sz w:val="20"/>
              </w:rPr>
              <w:t> </w:t>
            </w:r>
            <w:r w:rsidRPr="00015822">
              <w:rPr>
                <w:sz w:val="20"/>
              </w:rPr>
              <w:t>(UE)</w:t>
            </w:r>
            <w:r w:rsidR="008B5FC2">
              <w:rPr>
                <w:sz w:val="20"/>
              </w:rPr>
              <w:t> </w:t>
            </w:r>
            <w:r w:rsidRPr="00015822">
              <w:rPr>
                <w:sz w:val="20"/>
              </w:rPr>
              <w:t>N° 2018/868 de la Commission et le Règlement d’exécution</w:t>
            </w:r>
            <w:r w:rsidR="008B5FC2">
              <w:rPr>
                <w:sz w:val="20"/>
              </w:rPr>
              <w:t> </w:t>
            </w:r>
            <w:r w:rsidRPr="00015822">
              <w:rPr>
                <w:sz w:val="20"/>
              </w:rPr>
              <w:t>(UE)</w:t>
            </w:r>
            <w:r w:rsidR="008B5FC2">
              <w:rPr>
                <w:sz w:val="20"/>
              </w:rPr>
              <w:t> </w:t>
            </w:r>
            <w:r w:rsidRPr="00015822">
              <w:rPr>
                <w:sz w:val="20"/>
              </w:rPr>
              <w:t>N° 2019/776 de la Commission</w:t>
            </w:r>
          </w:p>
        </w:tc>
      </w:tr>
      <w:tr w:rsidR="008B5FC2" w:rsidTr="000418BF">
        <w:tc>
          <w:tcPr>
            <w:tcW w:w="3742" w:type="dxa"/>
          </w:tcPr>
          <w:p w:rsidR="005D4768" w:rsidRPr="00015822" w:rsidRDefault="005D4768" w:rsidP="000418BF">
            <w:pPr>
              <w:pStyle w:val="Corpsdetexte"/>
              <w:spacing w:before="60" w:after="60"/>
              <w:jc w:val="left"/>
              <w:rPr>
                <w:sz w:val="20"/>
              </w:rPr>
            </w:pPr>
            <w:r w:rsidRPr="00015822">
              <w:rPr>
                <w:sz w:val="20"/>
              </w:rPr>
              <w:t>N° 1302/2014 concernant une spécification technique d’interopérabilité relative au sous-système « matériel roulant » — « Locomotives et matériel roulant destiné au transport de passagers du système ferroviaire dans l’Union européenne* et ...</w:t>
            </w:r>
          </w:p>
        </w:tc>
        <w:tc>
          <w:tcPr>
            <w:tcW w:w="2551" w:type="dxa"/>
          </w:tcPr>
          <w:p w:rsidR="005D4768" w:rsidRPr="00015822" w:rsidRDefault="005D4768" w:rsidP="00015822">
            <w:pPr>
              <w:pStyle w:val="Corpsdetexte"/>
              <w:spacing w:before="60" w:after="60"/>
              <w:jc w:val="center"/>
              <w:rPr>
                <w:sz w:val="20"/>
              </w:rPr>
            </w:pPr>
            <w:r w:rsidRPr="00015822">
              <w:rPr>
                <w:sz w:val="20"/>
              </w:rPr>
              <w:t>J</w:t>
            </w:r>
          </w:p>
        </w:tc>
        <w:tc>
          <w:tcPr>
            <w:tcW w:w="3628" w:type="dxa"/>
          </w:tcPr>
          <w:p w:rsidR="005D4768" w:rsidRPr="00015822" w:rsidRDefault="005D4768" w:rsidP="008B5FC2">
            <w:pPr>
              <w:pStyle w:val="Corpsdetexte"/>
              <w:spacing w:before="60" w:after="60"/>
              <w:jc w:val="left"/>
              <w:rPr>
                <w:sz w:val="20"/>
              </w:rPr>
            </w:pPr>
            <w:r w:rsidRPr="00015822">
              <w:rPr>
                <w:sz w:val="20"/>
              </w:rPr>
              <w:t>Comme modifié par le Règlement</w:t>
            </w:r>
            <w:r w:rsidR="008B5FC2">
              <w:rPr>
                <w:sz w:val="20"/>
              </w:rPr>
              <w:t> </w:t>
            </w:r>
            <w:r w:rsidRPr="00015822">
              <w:rPr>
                <w:sz w:val="20"/>
              </w:rPr>
              <w:t>(UE)</w:t>
            </w:r>
            <w:r w:rsidR="008B5FC2">
              <w:rPr>
                <w:sz w:val="20"/>
              </w:rPr>
              <w:t> </w:t>
            </w:r>
            <w:r w:rsidRPr="00015822">
              <w:rPr>
                <w:sz w:val="20"/>
              </w:rPr>
              <w:t>N°</w:t>
            </w:r>
            <w:r w:rsidR="008B5FC2">
              <w:rPr>
                <w:sz w:val="20"/>
              </w:rPr>
              <w:t> </w:t>
            </w:r>
            <w:r w:rsidRPr="00015822">
              <w:rPr>
                <w:sz w:val="20"/>
              </w:rPr>
              <w:t>2016/919 de la Commission, le Règlement d’exécution</w:t>
            </w:r>
            <w:r w:rsidR="008B5FC2">
              <w:rPr>
                <w:sz w:val="20"/>
              </w:rPr>
              <w:t> </w:t>
            </w:r>
            <w:r w:rsidRPr="00015822">
              <w:rPr>
                <w:sz w:val="20"/>
              </w:rPr>
              <w:t>(UE)</w:t>
            </w:r>
            <w:r w:rsidR="008B5FC2">
              <w:rPr>
                <w:sz w:val="20"/>
              </w:rPr>
              <w:t> </w:t>
            </w:r>
            <w:r w:rsidRPr="00015822">
              <w:rPr>
                <w:sz w:val="20"/>
              </w:rPr>
              <w:t>N° 2018/868 de la Commission, le Règlement d’exécution</w:t>
            </w:r>
            <w:r w:rsidR="008B5FC2">
              <w:rPr>
                <w:sz w:val="20"/>
              </w:rPr>
              <w:t> </w:t>
            </w:r>
            <w:r w:rsidRPr="00015822">
              <w:rPr>
                <w:sz w:val="20"/>
              </w:rPr>
              <w:t>(UE)</w:t>
            </w:r>
            <w:r w:rsidR="008B5FC2">
              <w:rPr>
                <w:sz w:val="20"/>
              </w:rPr>
              <w:t> </w:t>
            </w:r>
            <w:r w:rsidRPr="00015822">
              <w:rPr>
                <w:sz w:val="20"/>
              </w:rPr>
              <w:t>N° 2019/776 de la Commission et le Règlement d’exécution</w:t>
            </w:r>
            <w:r w:rsidR="008B5FC2">
              <w:rPr>
                <w:sz w:val="20"/>
              </w:rPr>
              <w:t> </w:t>
            </w:r>
            <w:r w:rsidRPr="00015822">
              <w:rPr>
                <w:sz w:val="20"/>
              </w:rPr>
              <w:t>(UE)</w:t>
            </w:r>
            <w:r w:rsidR="008B5FC2">
              <w:rPr>
                <w:sz w:val="20"/>
              </w:rPr>
              <w:t> </w:t>
            </w:r>
            <w:r w:rsidRPr="00015822">
              <w:rPr>
                <w:sz w:val="20"/>
              </w:rPr>
              <w:t>N° 2020/387 de la Commission</w:t>
            </w:r>
          </w:p>
        </w:tc>
      </w:tr>
      <w:tr w:rsidR="008B5FC2" w:rsidTr="000418BF">
        <w:tc>
          <w:tcPr>
            <w:tcW w:w="3742" w:type="dxa"/>
          </w:tcPr>
          <w:p w:rsidR="005D4768" w:rsidRPr="00015822" w:rsidRDefault="005D4768" w:rsidP="000418BF">
            <w:pPr>
              <w:spacing w:before="60" w:after="60"/>
              <w:jc w:val="left"/>
              <w:rPr>
                <w:sz w:val="20"/>
              </w:rPr>
            </w:pPr>
            <w:r w:rsidRPr="00015822">
              <w:rPr>
                <w:sz w:val="20"/>
              </w:rPr>
              <w:t>N° 1303/2014 concernant la spécification technique d’interopérabilité relative à la sécurité dans les tunnels ferroviaires du système ferroviaire de l’Union européenne* et …</w:t>
            </w:r>
          </w:p>
        </w:tc>
        <w:tc>
          <w:tcPr>
            <w:tcW w:w="2551" w:type="dxa"/>
          </w:tcPr>
          <w:p w:rsidR="005D4768" w:rsidRPr="00015822" w:rsidRDefault="005D4768" w:rsidP="00015822">
            <w:pPr>
              <w:pStyle w:val="Corpsdetexte"/>
              <w:spacing w:before="60" w:after="60"/>
              <w:jc w:val="center"/>
              <w:rPr>
                <w:sz w:val="20"/>
              </w:rPr>
            </w:pPr>
            <w:r w:rsidRPr="00015822">
              <w:rPr>
                <w:sz w:val="20"/>
              </w:rPr>
              <w:t>A</w:t>
            </w:r>
          </w:p>
        </w:tc>
        <w:tc>
          <w:tcPr>
            <w:tcW w:w="3628" w:type="dxa"/>
          </w:tcPr>
          <w:p w:rsidR="005D4768" w:rsidRPr="00015822" w:rsidRDefault="005D4768" w:rsidP="008B5FC2">
            <w:pPr>
              <w:pStyle w:val="Corpsdetexte"/>
              <w:spacing w:before="60" w:after="60"/>
              <w:jc w:val="left"/>
              <w:rPr>
                <w:sz w:val="20"/>
              </w:rPr>
            </w:pPr>
            <w:r w:rsidRPr="00015822">
              <w:rPr>
                <w:sz w:val="20"/>
              </w:rPr>
              <w:t>Comme modifié par le Règlement</w:t>
            </w:r>
            <w:r w:rsidR="008B5FC2">
              <w:rPr>
                <w:sz w:val="20"/>
              </w:rPr>
              <w:t> </w:t>
            </w:r>
            <w:r w:rsidRPr="00015822">
              <w:rPr>
                <w:sz w:val="20"/>
              </w:rPr>
              <w:t>(UE)</w:t>
            </w:r>
            <w:r w:rsidR="008B5FC2">
              <w:rPr>
                <w:sz w:val="20"/>
              </w:rPr>
              <w:t> </w:t>
            </w:r>
            <w:r w:rsidRPr="00015822">
              <w:rPr>
                <w:sz w:val="20"/>
              </w:rPr>
              <w:t>N°</w:t>
            </w:r>
            <w:r w:rsidR="008B5FC2">
              <w:rPr>
                <w:sz w:val="20"/>
              </w:rPr>
              <w:t> </w:t>
            </w:r>
            <w:r w:rsidRPr="00015822">
              <w:rPr>
                <w:sz w:val="20"/>
              </w:rPr>
              <w:t>2016/912 de la Commission et le Règlement d’exécution</w:t>
            </w:r>
            <w:r w:rsidR="008B5FC2">
              <w:rPr>
                <w:sz w:val="20"/>
              </w:rPr>
              <w:t> </w:t>
            </w:r>
            <w:r w:rsidRPr="00015822">
              <w:rPr>
                <w:sz w:val="20"/>
              </w:rPr>
              <w:t>(UE)</w:t>
            </w:r>
            <w:r w:rsidR="008B5FC2">
              <w:rPr>
                <w:sz w:val="20"/>
              </w:rPr>
              <w:t> </w:t>
            </w:r>
            <w:r w:rsidRPr="00015822">
              <w:rPr>
                <w:sz w:val="20"/>
              </w:rPr>
              <w:t>N° 2019/776 de la Commission</w:t>
            </w:r>
          </w:p>
        </w:tc>
      </w:tr>
      <w:tr w:rsidR="008B5FC2" w:rsidTr="000418BF">
        <w:tc>
          <w:tcPr>
            <w:tcW w:w="3742" w:type="dxa"/>
          </w:tcPr>
          <w:p w:rsidR="005D4768" w:rsidRPr="00015822" w:rsidRDefault="005D4768" w:rsidP="000418BF">
            <w:pPr>
              <w:spacing w:before="60" w:after="60"/>
              <w:jc w:val="left"/>
              <w:rPr>
                <w:sz w:val="20"/>
              </w:rPr>
            </w:pPr>
            <w:r w:rsidRPr="00015822">
              <w:rPr>
                <w:sz w:val="20"/>
              </w:rPr>
              <w:t>N° 1304/2014 relative à la spécification technique d’interopérabilité concernant le sous</w:t>
            </w:r>
            <w:r w:rsidR="000418BF">
              <w:rPr>
                <w:sz w:val="20"/>
              </w:rPr>
              <w:noBreakHyphen/>
            </w:r>
            <w:r w:rsidRPr="00015822">
              <w:rPr>
                <w:sz w:val="20"/>
              </w:rPr>
              <w:t>système « Matériel roulant — bruit » modifiant la décision</w:t>
            </w:r>
            <w:r w:rsidR="000418BF">
              <w:rPr>
                <w:sz w:val="20"/>
              </w:rPr>
              <w:t> </w:t>
            </w:r>
            <w:r w:rsidRPr="00015822">
              <w:rPr>
                <w:sz w:val="20"/>
              </w:rPr>
              <w:t>2008/232/CE et abrogeant la décision</w:t>
            </w:r>
            <w:r w:rsidR="000418BF">
              <w:rPr>
                <w:sz w:val="20"/>
              </w:rPr>
              <w:t> </w:t>
            </w:r>
            <w:r w:rsidRPr="00015822">
              <w:rPr>
                <w:sz w:val="20"/>
              </w:rPr>
              <w:t>2011/229/UE* et …</w:t>
            </w:r>
          </w:p>
        </w:tc>
        <w:tc>
          <w:tcPr>
            <w:tcW w:w="2551" w:type="dxa"/>
          </w:tcPr>
          <w:p w:rsidR="005D4768" w:rsidRPr="00015822" w:rsidRDefault="005D4768" w:rsidP="00015822">
            <w:pPr>
              <w:pStyle w:val="Corpsdetexte"/>
              <w:spacing w:before="60" w:after="60"/>
              <w:jc w:val="center"/>
              <w:rPr>
                <w:sz w:val="20"/>
              </w:rPr>
            </w:pPr>
            <w:r w:rsidRPr="00015822">
              <w:rPr>
                <w:sz w:val="20"/>
              </w:rPr>
              <w:t>B</w:t>
            </w:r>
          </w:p>
        </w:tc>
        <w:tc>
          <w:tcPr>
            <w:tcW w:w="3628" w:type="dxa"/>
          </w:tcPr>
          <w:p w:rsidR="005D4768" w:rsidRPr="00015822" w:rsidRDefault="005D4768" w:rsidP="008B5FC2">
            <w:pPr>
              <w:pStyle w:val="Corpsdetexte"/>
              <w:spacing w:before="60" w:after="60"/>
              <w:jc w:val="left"/>
              <w:rPr>
                <w:sz w:val="20"/>
              </w:rPr>
            </w:pPr>
            <w:r w:rsidRPr="00015822">
              <w:rPr>
                <w:sz w:val="20"/>
              </w:rPr>
              <w:t>Comme modifié par le Règlement d’exécution</w:t>
            </w:r>
            <w:r w:rsidR="008B5FC2">
              <w:rPr>
                <w:sz w:val="20"/>
              </w:rPr>
              <w:t> </w:t>
            </w:r>
            <w:r w:rsidRPr="00015822">
              <w:rPr>
                <w:sz w:val="20"/>
              </w:rPr>
              <w:t>(UE)</w:t>
            </w:r>
            <w:r w:rsidR="008B5FC2">
              <w:rPr>
                <w:sz w:val="20"/>
              </w:rPr>
              <w:t> </w:t>
            </w:r>
            <w:r w:rsidRPr="00015822">
              <w:rPr>
                <w:sz w:val="20"/>
              </w:rPr>
              <w:t>N° 2019/774</w:t>
            </w:r>
          </w:p>
        </w:tc>
      </w:tr>
      <w:tr w:rsidR="008B5FC2" w:rsidTr="000418BF">
        <w:tc>
          <w:tcPr>
            <w:tcW w:w="3742" w:type="dxa"/>
          </w:tcPr>
          <w:p w:rsidR="005D4768" w:rsidRPr="00015822" w:rsidRDefault="005D4768" w:rsidP="000418BF">
            <w:pPr>
              <w:pStyle w:val="Corpsdetexte"/>
              <w:keepNext/>
              <w:keepLines/>
              <w:spacing w:before="60" w:after="60"/>
              <w:jc w:val="left"/>
              <w:rPr>
                <w:sz w:val="20"/>
              </w:rPr>
            </w:pPr>
            <w:r w:rsidRPr="00015822">
              <w:rPr>
                <w:sz w:val="20"/>
              </w:rPr>
              <w:lastRenderedPageBreak/>
              <w:t>N° 2016/919 relatif à la spécification technique d’interopérabilité concernant les sous-systèmes « Contrôle, commande et signalisation » du système ferroviaire dans l’Union européenne »* et …</w:t>
            </w:r>
          </w:p>
        </w:tc>
        <w:tc>
          <w:tcPr>
            <w:tcW w:w="2551" w:type="dxa"/>
          </w:tcPr>
          <w:p w:rsidR="005D4768" w:rsidRPr="00015822" w:rsidRDefault="005D4768" w:rsidP="000418BF">
            <w:pPr>
              <w:pStyle w:val="Paragraphedeliste"/>
              <w:keepNext/>
              <w:keepLines/>
              <w:spacing w:before="60" w:after="60"/>
              <w:ind w:left="0"/>
              <w:contextualSpacing w:val="0"/>
              <w:jc w:val="left"/>
              <w:rPr>
                <w:sz w:val="20"/>
              </w:rPr>
            </w:pPr>
            <w:r w:rsidRPr="00015822">
              <w:rPr>
                <w:rFonts w:ascii="Cambria" w:hAnsi="Cambria"/>
                <w:sz w:val="20"/>
              </w:rPr>
              <w:t>Tableaux A.3 et A.4 de l’Annexe A</w:t>
            </w:r>
          </w:p>
        </w:tc>
        <w:tc>
          <w:tcPr>
            <w:tcW w:w="3628" w:type="dxa"/>
          </w:tcPr>
          <w:p w:rsidR="005D4768" w:rsidRPr="00015822" w:rsidRDefault="005D4768" w:rsidP="000418BF">
            <w:pPr>
              <w:pStyle w:val="Corpsdetexte"/>
              <w:keepNext/>
              <w:keepLines/>
              <w:spacing w:before="60" w:after="60"/>
              <w:jc w:val="left"/>
              <w:rPr>
                <w:sz w:val="20"/>
              </w:rPr>
            </w:pPr>
            <w:r w:rsidRPr="00015822">
              <w:rPr>
                <w:sz w:val="20"/>
              </w:rPr>
              <w:t>Comme modifié par le Règlement d’exécution (UE) N° 2019/776 de la Commission, le Règlement d’exécution (UE) N° 2020/387 de la Commission et le Règlement d’exécution (UE) N° 2020/420 de la Commission</w:t>
            </w:r>
          </w:p>
        </w:tc>
      </w:tr>
      <w:tr w:rsidR="008B5FC2" w:rsidTr="000418BF">
        <w:tc>
          <w:tcPr>
            <w:tcW w:w="3742" w:type="dxa"/>
          </w:tcPr>
          <w:p w:rsidR="005D4768" w:rsidRPr="00015822" w:rsidRDefault="005D4768" w:rsidP="000418BF">
            <w:pPr>
              <w:spacing w:before="60" w:after="60"/>
              <w:jc w:val="left"/>
              <w:rPr>
                <w:sz w:val="20"/>
              </w:rPr>
            </w:pPr>
            <w:r w:rsidRPr="00015822">
              <w:rPr>
                <w:sz w:val="20"/>
              </w:rPr>
              <w:t>N° 2019/773 concernant la spécification technique d’interopérabilité relative au sous-système «Exploitation et gestion du trafic» du système ferroviaire au sein de l’Union européenne et abrogeant la décision 2012/757/UE* et …</w:t>
            </w:r>
          </w:p>
        </w:tc>
        <w:tc>
          <w:tcPr>
            <w:tcW w:w="2551" w:type="dxa"/>
          </w:tcPr>
          <w:p w:rsidR="005D4768" w:rsidRPr="00015822" w:rsidRDefault="005D4768" w:rsidP="00015822">
            <w:pPr>
              <w:pStyle w:val="Corpsdetexte"/>
              <w:spacing w:before="60" w:after="60"/>
              <w:jc w:val="center"/>
              <w:rPr>
                <w:sz w:val="20"/>
              </w:rPr>
            </w:pPr>
            <w:r w:rsidRPr="00015822">
              <w:rPr>
                <w:sz w:val="20"/>
              </w:rPr>
              <w:t>-</w:t>
            </w:r>
          </w:p>
        </w:tc>
        <w:tc>
          <w:tcPr>
            <w:tcW w:w="3628" w:type="dxa"/>
          </w:tcPr>
          <w:p w:rsidR="005D4768" w:rsidRPr="00015822" w:rsidRDefault="005D4768" w:rsidP="00015822">
            <w:pPr>
              <w:pStyle w:val="Corpsdetexte"/>
              <w:spacing w:before="60" w:after="60"/>
              <w:jc w:val="left"/>
              <w:rPr>
                <w:sz w:val="20"/>
              </w:rPr>
            </w:pPr>
            <w:r w:rsidRPr="00015822">
              <w:rPr>
                <w:sz w:val="20"/>
              </w:rPr>
              <w:t>-</w:t>
            </w:r>
          </w:p>
        </w:tc>
      </w:tr>
      <w:tr w:rsidR="008B5FC2" w:rsidTr="000418BF">
        <w:tc>
          <w:tcPr>
            <w:tcW w:w="3742" w:type="dxa"/>
          </w:tcPr>
          <w:p w:rsidR="005D4768" w:rsidRPr="00015822" w:rsidRDefault="005D4768" w:rsidP="000418BF">
            <w:pPr>
              <w:spacing w:before="60" w:after="60"/>
              <w:jc w:val="left"/>
              <w:rPr>
                <w:sz w:val="20"/>
              </w:rPr>
            </w:pPr>
            <w:r w:rsidRPr="00015822">
              <w:rPr>
                <w:sz w:val="20"/>
              </w:rPr>
              <w:t>N° 1305/2014 relatif à la spécification technique d'interopérabilité concernant le sous-système « Applications télématiques au service du fret » du système ferroviaire de l'Union européenne et abrogeant le règlement</w:t>
            </w:r>
            <w:r w:rsidR="000418BF">
              <w:t> </w:t>
            </w:r>
            <w:r w:rsidRPr="00015822">
              <w:rPr>
                <w:sz w:val="20"/>
              </w:rPr>
              <w:t>(CE) N° 62/2006* et ...</w:t>
            </w:r>
          </w:p>
        </w:tc>
        <w:tc>
          <w:tcPr>
            <w:tcW w:w="2551" w:type="dxa"/>
          </w:tcPr>
          <w:p w:rsidR="005D4768" w:rsidRPr="00015822" w:rsidRDefault="005D4768" w:rsidP="00015822">
            <w:pPr>
              <w:pStyle w:val="Corpsdetexte"/>
              <w:spacing w:before="60" w:after="60"/>
              <w:jc w:val="center"/>
              <w:rPr>
                <w:sz w:val="20"/>
              </w:rPr>
            </w:pPr>
            <w:r w:rsidRPr="00015822">
              <w:rPr>
                <w:sz w:val="20"/>
              </w:rPr>
              <w:t>-</w:t>
            </w:r>
          </w:p>
        </w:tc>
        <w:tc>
          <w:tcPr>
            <w:tcW w:w="3628" w:type="dxa"/>
          </w:tcPr>
          <w:p w:rsidR="005D4768" w:rsidRPr="00015822" w:rsidRDefault="005D4768" w:rsidP="00015822">
            <w:pPr>
              <w:pStyle w:val="Corpsdetexte"/>
              <w:spacing w:before="60" w:after="60"/>
              <w:jc w:val="left"/>
              <w:rPr>
                <w:sz w:val="20"/>
              </w:rPr>
            </w:pPr>
            <w:r w:rsidRPr="00015822">
              <w:rPr>
                <w:sz w:val="20"/>
              </w:rPr>
              <w:t>Comme modifié par le Règlement d’exécution (UE) N° 2018/278 de la Commission et le Règlement d’exécution (UE) N° 2019/778 de la Commission</w:t>
            </w:r>
          </w:p>
        </w:tc>
      </w:tr>
      <w:tr w:rsidR="008B5FC2" w:rsidTr="000418BF">
        <w:tc>
          <w:tcPr>
            <w:tcW w:w="3742" w:type="dxa"/>
          </w:tcPr>
          <w:p w:rsidR="005D4768" w:rsidRPr="00015822" w:rsidRDefault="005D4768" w:rsidP="000418BF">
            <w:pPr>
              <w:pStyle w:val="Corpsdetexte"/>
              <w:spacing w:before="60" w:after="60"/>
              <w:jc w:val="left"/>
              <w:rPr>
                <w:sz w:val="20"/>
              </w:rPr>
            </w:pPr>
            <w:r w:rsidRPr="00015822">
              <w:rPr>
                <w:sz w:val="20"/>
              </w:rPr>
              <w:t>N° 454/2011 relatif à la spécification technique d’interopérabilité concernant le sous-système « applications télématiques au service des voyageurs » du système ferroviaire transeuropéen* et…</w:t>
            </w:r>
          </w:p>
        </w:tc>
        <w:tc>
          <w:tcPr>
            <w:tcW w:w="2551" w:type="dxa"/>
          </w:tcPr>
          <w:p w:rsidR="005D4768" w:rsidRPr="00015822" w:rsidRDefault="005D4768" w:rsidP="00015822">
            <w:pPr>
              <w:pStyle w:val="Corpsdetexte"/>
              <w:spacing w:before="60" w:after="60"/>
              <w:jc w:val="center"/>
              <w:rPr>
                <w:sz w:val="20"/>
              </w:rPr>
            </w:pPr>
            <w:r w:rsidRPr="00015822">
              <w:rPr>
                <w:sz w:val="20"/>
              </w:rPr>
              <w:t>-</w:t>
            </w:r>
          </w:p>
        </w:tc>
        <w:tc>
          <w:tcPr>
            <w:tcW w:w="3628" w:type="dxa"/>
          </w:tcPr>
          <w:p w:rsidR="005D4768" w:rsidRPr="00015822" w:rsidRDefault="005D4768" w:rsidP="00015822">
            <w:pPr>
              <w:pStyle w:val="Corpsdetexte"/>
              <w:spacing w:before="60" w:after="60"/>
              <w:jc w:val="left"/>
              <w:rPr>
                <w:sz w:val="20"/>
              </w:rPr>
            </w:pPr>
            <w:r w:rsidRPr="00015822">
              <w:rPr>
                <w:sz w:val="20"/>
              </w:rPr>
              <w:t>Comme modifié par le Règlement (UE) N° 665/2012 de la Commission, le Règlement (UE) N° 1273/2013 de la Commission, le Règlement (UE) N° 2015/302 de la Commission, le Règlement (UE) N° 2016/527 de la Commission et le Règlement d’exécution (UE) N° 2019/775 de la Commission</w:t>
            </w:r>
          </w:p>
        </w:tc>
      </w:tr>
    </w:tbl>
    <w:p w:rsidR="005D4768" w:rsidRDefault="005D4768" w:rsidP="002E616F">
      <w:pPr>
        <w:jc w:val="center"/>
      </w:pPr>
      <w:r>
        <w:t>Table</w:t>
      </w:r>
      <w:r w:rsidR="00C122A9">
        <w:t>au</w:t>
      </w:r>
      <w:r>
        <w:t xml:space="preserve"> 1 (r</w:t>
      </w:r>
      <w:r w:rsidR="00C122A9">
        <w:t>é</w:t>
      </w:r>
      <w:r>
        <w:t>vis</w:t>
      </w:r>
      <w:r w:rsidR="00C122A9">
        <w:t xml:space="preserve">é le </w:t>
      </w:r>
      <w:r>
        <w:t>2020-06-22 TL)</w:t>
      </w:r>
    </w:p>
    <w:p w:rsidR="00182B3C" w:rsidRDefault="00182B3C">
      <w:pPr>
        <w:spacing w:after="160" w:line="259" w:lineRule="auto"/>
      </w:pPr>
    </w:p>
    <w:sectPr w:rsidR="00182B3C" w:rsidSect="00064F03">
      <w:footerReference w:type="even" r:id="rId11"/>
      <w:footerReference w:type="default" r:id="rId12"/>
      <w:footnotePr>
        <w:numFmt w:val="chicago"/>
      </w:footnotePr>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9A4" w:rsidRDefault="001849A4" w:rsidP="001849A4">
      <w:pPr>
        <w:spacing w:after="0" w:line="240" w:lineRule="auto"/>
      </w:pPr>
      <w:r>
        <w:separator/>
      </w:r>
    </w:p>
  </w:endnote>
  <w:endnote w:type="continuationSeparator" w:id="0">
    <w:p w:rsidR="001849A4" w:rsidRDefault="001849A4" w:rsidP="0018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A4" w:rsidRDefault="001849A4" w:rsidP="001849A4">
    <w:pPr>
      <w:pStyle w:val="Pieddepage"/>
      <w:spacing w:before="283" w:after="283" w:line="2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A4" w:rsidRDefault="001849A4" w:rsidP="001849A4">
    <w:pPr>
      <w:pStyle w:val="Pieddepage"/>
      <w:spacing w:before="283" w:after="283" w:line="2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9A4" w:rsidRDefault="001849A4" w:rsidP="001849A4">
      <w:pPr>
        <w:spacing w:after="0" w:line="240" w:lineRule="auto"/>
      </w:pPr>
      <w:r>
        <w:separator/>
      </w:r>
    </w:p>
  </w:footnote>
  <w:footnote w:type="continuationSeparator" w:id="0">
    <w:p w:rsidR="001849A4" w:rsidRDefault="001849A4" w:rsidP="001849A4">
      <w:pPr>
        <w:spacing w:after="0" w:line="240" w:lineRule="auto"/>
      </w:pPr>
      <w:r>
        <w:continuationSeparator/>
      </w:r>
    </w:p>
  </w:footnote>
  <w:footnote w:id="1">
    <w:p w:rsidR="00064F03" w:rsidRDefault="00064F03" w:rsidP="00064F03">
      <w:pPr>
        <w:pStyle w:val="Notedebasdepage"/>
        <w:jc w:val="left"/>
      </w:pPr>
      <w:r>
        <w:rPr>
          <w:rStyle w:val="Appelnotedebasdep"/>
        </w:rPr>
        <w:footnoteRef/>
      </w:r>
      <w:r>
        <w:tab/>
        <w:t>Comme modifié par le Règlement (UE) N° 1236/2013 de la Commission, le Règlement (UE) N° 2015/924 de la Commission, le Règlement d’exécution (UE) N° 2019/776 de la Commission et le Règlement d’exécution (UE)</w:t>
      </w:r>
      <w:r w:rsidR="005F2394">
        <w:t> </w:t>
      </w:r>
      <w:r>
        <w:t>N°</w:t>
      </w:r>
      <w:r w:rsidR="005F2394">
        <w:t> </w:t>
      </w:r>
      <w:r>
        <w:t>2020/387 de la Commission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E0D48"/>
    <w:multiLevelType w:val="hybridMultilevel"/>
    <w:tmpl w:val="945C387C"/>
    <w:lvl w:ilvl="0" w:tplc="5F8047D2">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2CA05C3"/>
    <w:multiLevelType w:val="multilevel"/>
    <w:tmpl w:val="81F29E28"/>
    <w:lvl w:ilvl="0">
      <w:start w:val="1"/>
      <w:numFmt w:val="upperLetter"/>
      <w:pStyle w:val="ANNEXZ"/>
      <w:suff w:val="nothing"/>
      <w:lvlText w:val="Annexe Z%1"/>
      <w:lvlJc w:val="left"/>
      <w:pPr>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403"/>
  <w:hyphenationZone w:val="425"/>
  <w:evenAndOddHeaders/>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E9"/>
    <w:rsid w:val="000118C9"/>
    <w:rsid w:val="00015822"/>
    <w:rsid w:val="000418BF"/>
    <w:rsid w:val="00064F03"/>
    <w:rsid w:val="000F3C10"/>
    <w:rsid w:val="0012707F"/>
    <w:rsid w:val="00182B3C"/>
    <w:rsid w:val="001849A4"/>
    <w:rsid w:val="001D587E"/>
    <w:rsid w:val="001D72EB"/>
    <w:rsid w:val="002052AD"/>
    <w:rsid w:val="002E616F"/>
    <w:rsid w:val="003E05BD"/>
    <w:rsid w:val="00413E04"/>
    <w:rsid w:val="0044338C"/>
    <w:rsid w:val="004E0BE9"/>
    <w:rsid w:val="005D4768"/>
    <w:rsid w:val="005F2394"/>
    <w:rsid w:val="007C5518"/>
    <w:rsid w:val="00817F11"/>
    <w:rsid w:val="008309F2"/>
    <w:rsid w:val="008A3ABB"/>
    <w:rsid w:val="008B5FC2"/>
    <w:rsid w:val="009A19F3"/>
    <w:rsid w:val="00BA341A"/>
    <w:rsid w:val="00C122A9"/>
    <w:rsid w:val="00D35EEE"/>
    <w:rsid w:val="00D75121"/>
    <w:rsid w:val="00D95FC6"/>
    <w:rsid w:val="00DF12C8"/>
    <w:rsid w:val="00E14568"/>
    <w:rsid w:val="00E22125"/>
    <w:rsid w:val="00F9177F"/>
    <w:rsid w:val="00F95C25"/>
    <w:rsid w:val="00FB027C"/>
    <w:rsid w:val="00FF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80E389-CFDA-4EA4-BA77-513D8C72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A4"/>
    <w:pPr>
      <w:spacing w:after="240" w:line="240" w:lineRule="atLeast"/>
      <w:jc w:val="both"/>
    </w:pPr>
    <w:rPr>
      <w:rFonts w:ascii="Cambria" w:eastAsia="Calibri"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4E0BE9"/>
    <w:pPr>
      <w:spacing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4E0BE9"/>
    <w:rPr>
      <w:sz w:val="20"/>
      <w:szCs w:val="20"/>
    </w:rPr>
  </w:style>
  <w:style w:type="table" w:styleId="Grilledutableau">
    <w:name w:val="Table Grid"/>
    <w:basedOn w:val="TableauNormal"/>
    <w:uiPriority w:val="39"/>
    <w:rsid w:val="004E0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Z">
    <w:name w:val="ANNEXZ"/>
    <w:basedOn w:val="Normal"/>
    <w:link w:val="ANNEXZChar"/>
    <w:rsid w:val="004E0BE9"/>
    <w:pPr>
      <w:keepNext/>
      <w:pageBreakBefore/>
      <w:numPr>
        <w:numId w:val="1"/>
      </w:numPr>
      <w:autoSpaceDE w:val="0"/>
      <w:autoSpaceDN w:val="0"/>
      <w:adjustRightInd w:val="0"/>
      <w:spacing w:after="760" w:line="310" w:lineRule="exact"/>
      <w:jc w:val="center"/>
      <w:outlineLvl w:val="0"/>
    </w:pPr>
    <w:rPr>
      <w:b/>
      <w:sz w:val="28"/>
      <w:szCs w:val="24"/>
    </w:rPr>
  </w:style>
  <w:style w:type="paragraph" w:styleId="Corpsdetexte">
    <w:name w:val="Body Text"/>
    <w:basedOn w:val="Normal"/>
    <w:link w:val="CorpsdetexteCar"/>
    <w:uiPriority w:val="99"/>
    <w:unhideWhenUsed/>
    <w:rsid w:val="004E0BE9"/>
    <w:pPr>
      <w:spacing w:after="120"/>
    </w:pPr>
  </w:style>
  <w:style w:type="character" w:customStyle="1" w:styleId="CorpsdetexteCar">
    <w:name w:val="Corps de texte Car"/>
    <w:basedOn w:val="Policepardfaut"/>
    <w:link w:val="Corpsdetexte"/>
    <w:uiPriority w:val="99"/>
    <w:rsid w:val="004E0BE9"/>
    <w:rPr>
      <w:rFonts w:ascii="Cambria" w:eastAsia="Calibri" w:hAnsi="Cambria" w:cs="Times New Roman"/>
    </w:rPr>
  </w:style>
  <w:style w:type="paragraph" w:customStyle="1" w:styleId="Tabletext10">
    <w:name w:val="Table text (10)"/>
    <w:basedOn w:val="Normal"/>
    <w:link w:val="Tabletext10Char"/>
    <w:uiPriority w:val="99"/>
    <w:rsid w:val="004E0BE9"/>
    <w:pPr>
      <w:spacing w:before="60" w:after="60"/>
    </w:pPr>
    <w:rPr>
      <w:rFonts w:eastAsia="MS Mincho"/>
      <w:sz w:val="20"/>
      <w:szCs w:val="20"/>
      <w:lang w:eastAsia="ja-JP"/>
    </w:rPr>
  </w:style>
  <w:style w:type="paragraph" w:customStyle="1" w:styleId="Tabletitle">
    <w:name w:val="Table title"/>
    <w:basedOn w:val="Normal"/>
    <w:link w:val="TabletitleChar"/>
    <w:rsid w:val="004E0BE9"/>
    <w:pPr>
      <w:keepNext/>
      <w:suppressAutoHyphens/>
      <w:spacing w:before="120" w:after="120"/>
      <w:jc w:val="center"/>
    </w:pPr>
    <w:rPr>
      <w:b/>
    </w:rPr>
  </w:style>
  <w:style w:type="character" w:customStyle="1" w:styleId="Tabletext10Char">
    <w:name w:val="Table text (10) Char"/>
    <w:basedOn w:val="Policepardfaut"/>
    <w:link w:val="Tabletext10"/>
    <w:uiPriority w:val="99"/>
    <w:rsid w:val="004E0BE9"/>
    <w:rPr>
      <w:rFonts w:ascii="Cambria" w:eastAsia="MS Mincho" w:hAnsi="Cambria" w:cs="Times New Roman"/>
      <w:sz w:val="20"/>
      <w:szCs w:val="20"/>
      <w:lang w:eastAsia="ja-JP"/>
    </w:rPr>
  </w:style>
  <w:style w:type="paragraph" w:customStyle="1" w:styleId="za2">
    <w:name w:val="za2"/>
    <w:basedOn w:val="Normal"/>
    <w:next w:val="Corpsdetexte"/>
    <w:rsid w:val="004E0BE9"/>
    <w:pPr>
      <w:keepNext/>
      <w:numPr>
        <w:ilvl w:val="1"/>
        <w:numId w:val="1"/>
      </w:numPr>
      <w:tabs>
        <w:tab w:val="left" w:pos="499"/>
        <w:tab w:val="left" w:pos="720"/>
      </w:tabs>
      <w:spacing w:before="270" w:line="270" w:lineRule="exact"/>
      <w:outlineLvl w:val="0"/>
    </w:pPr>
    <w:rPr>
      <w:b/>
      <w:sz w:val="26"/>
    </w:rPr>
  </w:style>
  <w:style w:type="paragraph" w:customStyle="1" w:styleId="za3">
    <w:name w:val="za3"/>
    <w:basedOn w:val="Normal"/>
    <w:rsid w:val="004E0BE9"/>
    <w:pPr>
      <w:keepNext/>
      <w:numPr>
        <w:ilvl w:val="2"/>
        <w:numId w:val="1"/>
      </w:numPr>
      <w:tabs>
        <w:tab w:val="left" w:pos="851"/>
      </w:tabs>
      <w:spacing w:line="250" w:lineRule="exact"/>
      <w:outlineLvl w:val="0"/>
    </w:pPr>
    <w:rPr>
      <w:b/>
      <w:sz w:val="24"/>
    </w:rPr>
  </w:style>
  <w:style w:type="paragraph" w:customStyle="1" w:styleId="za4">
    <w:name w:val="za4"/>
    <w:basedOn w:val="Normal"/>
    <w:rsid w:val="004E0BE9"/>
    <w:pPr>
      <w:keepNext/>
      <w:numPr>
        <w:ilvl w:val="3"/>
        <w:numId w:val="1"/>
      </w:numPr>
      <w:tabs>
        <w:tab w:val="left" w:pos="992"/>
      </w:tabs>
      <w:outlineLvl w:val="0"/>
    </w:pPr>
    <w:rPr>
      <w:b/>
    </w:rPr>
  </w:style>
  <w:style w:type="paragraph" w:customStyle="1" w:styleId="za5">
    <w:name w:val="za5"/>
    <w:basedOn w:val="Normal"/>
    <w:rsid w:val="004E0BE9"/>
    <w:pPr>
      <w:keepNext/>
      <w:numPr>
        <w:ilvl w:val="4"/>
        <w:numId w:val="1"/>
      </w:numPr>
      <w:tabs>
        <w:tab w:val="left" w:pos="1106"/>
      </w:tabs>
      <w:outlineLvl w:val="0"/>
    </w:pPr>
    <w:rPr>
      <w:b/>
    </w:rPr>
  </w:style>
  <w:style w:type="paragraph" w:customStyle="1" w:styleId="za6">
    <w:name w:val="za6"/>
    <w:basedOn w:val="Normal"/>
    <w:next w:val="Corpsdetexte"/>
    <w:rsid w:val="004E0BE9"/>
    <w:pPr>
      <w:keepNext/>
      <w:numPr>
        <w:ilvl w:val="5"/>
        <w:numId w:val="1"/>
      </w:numPr>
      <w:tabs>
        <w:tab w:val="left" w:pos="1219"/>
      </w:tabs>
      <w:outlineLvl w:val="0"/>
    </w:pPr>
    <w:rPr>
      <w:b/>
    </w:rPr>
  </w:style>
  <w:style w:type="character" w:customStyle="1" w:styleId="TabletitleChar">
    <w:name w:val="Table title Char"/>
    <w:link w:val="Tabletitle"/>
    <w:rsid w:val="004E0BE9"/>
    <w:rPr>
      <w:rFonts w:ascii="Cambria" w:eastAsia="Calibri" w:hAnsi="Cambria" w:cs="Times New Roman"/>
      <w:b/>
    </w:rPr>
  </w:style>
  <w:style w:type="character" w:customStyle="1" w:styleId="ANNEXZChar">
    <w:name w:val="ANNEXZ Char"/>
    <w:basedOn w:val="Policepardfaut"/>
    <w:link w:val="ANNEXZ"/>
    <w:rsid w:val="004E0BE9"/>
    <w:rPr>
      <w:rFonts w:ascii="Cambria" w:eastAsia="Calibri" w:hAnsi="Cambria" w:cs="Times New Roman"/>
      <w:b/>
      <w:sz w:val="28"/>
      <w:szCs w:val="24"/>
    </w:rPr>
  </w:style>
  <w:style w:type="paragraph" w:styleId="Paragraphedeliste">
    <w:name w:val="List Paragraph"/>
    <w:basedOn w:val="Normal"/>
    <w:uiPriority w:val="34"/>
    <w:qFormat/>
    <w:rsid w:val="00182B3C"/>
    <w:pPr>
      <w:ind w:left="720"/>
      <w:contextualSpacing/>
    </w:pPr>
    <w:rPr>
      <w:rFonts w:asciiTheme="minorHAnsi" w:eastAsiaTheme="minorHAnsi" w:hAnsiTheme="minorHAnsi" w:cstheme="minorBidi"/>
    </w:rPr>
  </w:style>
  <w:style w:type="character" w:styleId="Marquedecommentaire">
    <w:name w:val="annotation reference"/>
    <w:basedOn w:val="Policepardfaut"/>
    <w:uiPriority w:val="99"/>
    <w:semiHidden/>
    <w:unhideWhenUsed/>
    <w:rsid w:val="0012707F"/>
    <w:rPr>
      <w:sz w:val="16"/>
      <w:szCs w:val="16"/>
    </w:rPr>
  </w:style>
  <w:style w:type="paragraph" w:styleId="Objetducommentaire">
    <w:name w:val="annotation subject"/>
    <w:basedOn w:val="Commentaire"/>
    <w:next w:val="Commentaire"/>
    <w:link w:val="ObjetducommentaireCar"/>
    <w:uiPriority w:val="99"/>
    <w:semiHidden/>
    <w:unhideWhenUsed/>
    <w:rsid w:val="0012707F"/>
    <w:rPr>
      <w:rFonts w:ascii="Calibri" w:eastAsia="Calibri" w:hAnsi="Calibri" w:cs="Times New Roman"/>
      <w:b/>
      <w:bCs/>
    </w:rPr>
  </w:style>
  <w:style w:type="character" w:customStyle="1" w:styleId="ObjetducommentaireCar">
    <w:name w:val="Objet du commentaire Car"/>
    <w:basedOn w:val="CommentaireCar"/>
    <w:link w:val="Objetducommentaire"/>
    <w:uiPriority w:val="99"/>
    <w:semiHidden/>
    <w:rsid w:val="0012707F"/>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1270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707F"/>
    <w:rPr>
      <w:rFonts w:ascii="Segoe UI" w:eastAsia="Calibri" w:hAnsi="Segoe UI" w:cs="Segoe UI"/>
      <w:sz w:val="18"/>
      <w:szCs w:val="18"/>
    </w:rPr>
  </w:style>
  <w:style w:type="paragraph" w:styleId="En-tte">
    <w:name w:val="header"/>
    <w:basedOn w:val="Normal"/>
    <w:link w:val="En-tteCar"/>
    <w:uiPriority w:val="99"/>
    <w:unhideWhenUsed/>
    <w:rsid w:val="001849A4"/>
    <w:pPr>
      <w:tabs>
        <w:tab w:val="center" w:pos="4536"/>
        <w:tab w:val="right" w:pos="9072"/>
      </w:tabs>
      <w:spacing w:after="0" w:line="240" w:lineRule="auto"/>
    </w:pPr>
  </w:style>
  <w:style w:type="character" w:customStyle="1" w:styleId="En-tteCar">
    <w:name w:val="En-tête Car"/>
    <w:basedOn w:val="Policepardfaut"/>
    <w:link w:val="En-tte"/>
    <w:uiPriority w:val="99"/>
    <w:rsid w:val="001849A4"/>
    <w:rPr>
      <w:rFonts w:ascii="Calibri" w:eastAsia="Calibri" w:hAnsi="Calibri" w:cs="Times New Roman"/>
    </w:rPr>
  </w:style>
  <w:style w:type="paragraph" w:styleId="Pieddepage">
    <w:name w:val="footer"/>
    <w:basedOn w:val="Normal"/>
    <w:link w:val="PieddepageCar"/>
    <w:uiPriority w:val="99"/>
    <w:unhideWhenUsed/>
    <w:rsid w:val="001849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49A4"/>
    <w:rPr>
      <w:rFonts w:ascii="Calibri" w:eastAsia="Calibri" w:hAnsi="Calibri" w:cs="Times New Roman"/>
    </w:rPr>
  </w:style>
  <w:style w:type="paragraph" w:customStyle="1" w:styleId="Note">
    <w:name w:val="Note"/>
    <w:basedOn w:val="Normal"/>
    <w:rsid w:val="001849A4"/>
    <w:pPr>
      <w:tabs>
        <w:tab w:val="left" w:pos="965"/>
      </w:tabs>
      <w:spacing w:line="220" w:lineRule="atLeast"/>
    </w:pPr>
    <w:rPr>
      <w:sz w:val="20"/>
    </w:rPr>
  </w:style>
  <w:style w:type="paragraph" w:styleId="Notedebasdepage">
    <w:name w:val="footnote text"/>
    <w:basedOn w:val="Normal"/>
    <w:link w:val="NotedebasdepageCar"/>
    <w:uiPriority w:val="99"/>
    <w:semiHidden/>
    <w:unhideWhenUsed/>
    <w:rsid w:val="00064F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4F03"/>
    <w:rPr>
      <w:rFonts w:ascii="Cambria" w:eastAsia="Calibri" w:hAnsi="Cambria" w:cs="Times New Roman"/>
      <w:sz w:val="20"/>
      <w:szCs w:val="20"/>
    </w:rPr>
  </w:style>
  <w:style w:type="character" w:styleId="Appelnotedebasdep">
    <w:name w:val="footnote reference"/>
    <w:basedOn w:val="Policepardfaut"/>
    <w:uiPriority w:val="99"/>
    <w:semiHidden/>
    <w:unhideWhenUsed/>
    <w:rsid w:val="00064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1C76-A67A-401E-8030-4AC050AE63F2}">
  <ds:schemaRefs>
    <ds:schemaRef ds:uri="http://schemas.microsoft.com/office/2006/metadata/properties"/>
  </ds:schemaRefs>
</ds:datastoreItem>
</file>

<file path=customXml/itemProps2.xml><?xml version="1.0" encoding="utf-8"?>
<ds:datastoreItem xmlns:ds="http://schemas.openxmlformats.org/officeDocument/2006/customXml" ds:itemID="{61AE9E90-26E4-4FFF-9348-82F166815341}">
  <ds:schemaRefs>
    <ds:schemaRef ds:uri="http://schemas.microsoft.com/sharepoint/v3/contenttype/forms"/>
  </ds:schemaRefs>
</ds:datastoreItem>
</file>

<file path=customXml/itemProps3.xml><?xml version="1.0" encoding="utf-8"?>
<ds:datastoreItem xmlns:ds="http://schemas.openxmlformats.org/officeDocument/2006/customXml" ds:itemID="{1C3A78CD-5AA9-437F-B913-40BD1B89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DE59CE-B1BD-4206-A1A4-1DA1652F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1057</Words>
  <Characters>5818</Characters>
  <Application>Microsoft Office Word</Application>
  <DocSecurity>0</DocSecurity>
  <Lines>48</Lines>
  <Paragraphs>13</Paragraphs>
  <ScaleCrop>false</ScaleCrop>
  <HeadingPairs>
    <vt:vector size="6" baseType="variant">
      <vt:variant>
        <vt:lpstr>Titre</vt:lpstr>
      </vt:variant>
      <vt:variant>
        <vt:i4>1</vt:i4>
      </vt:variant>
      <vt:variant>
        <vt:lpstr>Title</vt:lpstr>
      </vt:variant>
      <vt:variant>
        <vt:i4>1</vt:i4>
      </vt:variant>
      <vt:variant>
        <vt:lpstr>Headings</vt:lpstr>
      </vt:variant>
      <vt:variant>
        <vt:i4>10</vt:i4>
      </vt:variant>
    </vt:vector>
  </HeadingPairs>
  <TitlesOfParts>
    <vt:vector size="12" baseType="lpstr">
      <vt:lpstr>AnnexZA_Railway_explanations.docx</vt:lpstr>
      <vt:lpstr/>
      <vt:lpstr>(informative)  Relationship between this European Standard and the Essential Re</vt:lpstr>
      <vt:lpstr>Table ZA.1 — Correspondence between this European Standard, Commission Regul</vt:lpstr>
      <vt:lpstr/>
      <vt:lpstr>NOTE: The Technical Specification for Interoperability (TSI) can refer to other </vt:lpstr>
      <vt:lpstr/>
      <vt:lpstr/>
      <vt:lpstr>* As amended by Commission Regulation (EU) No 1236/2013, Commission Regulation </vt:lpstr>
      <vt:lpstr>WARNING 2 — Other Union legislation may be applicable to the products falling w</vt:lpstr>
      <vt:lpstr/>
      <vt:lpstr/>
    </vt:vector>
  </TitlesOfParts>
  <Company>CENCENELEC</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AnnexZA_Railway_explanations.docx</dc:title>
  <dc:subject/>
  <dc:creator>Legrand Thierry</dc:creator>
  <cp:keywords/>
  <dc:description/>
  <cp:lastModifiedBy>gomez rafaële</cp:lastModifiedBy>
  <cp:revision>10</cp:revision>
  <dcterms:created xsi:type="dcterms:W3CDTF">2020-11-02T10:00:00Z</dcterms:created>
  <dcterms:modified xsi:type="dcterms:W3CDTF">2020-11-04T10:17:00Z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