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E9" w:rsidRPr="00A6336C" w:rsidRDefault="004E0BE9" w:rsidP="00857F48">
      <w:pPr>
        <w:pStyle w:val="ANNEXZ"/>
      </w:pPr>
      <w:r>
        <w:br/>
      </w:r>
      <w:r w:rsidRPr="009C4846">
        <w:rPr>
          <w:b w:val="0"/>
        </w:rPr>
        <w:t>(informative)</w:t>
      </w:r>
      <w:r>
        <w:br/>
      </w:r>
      <w:r>
        <w:br/>
        <w:t>Relation entre la présente Norme européenne et les exigences essentielles concernées de la Directive(UE) 2016/797</w:t>
      </w:r>
    </w:p>
    <w:p w:rsidR="004E0BE9" w:rsidRPr="00CB6ACA" w:rsidRDefault="004E0BE9" w:rsidP="00FE7CCD">
      <w:pPr>
        <w:rPr>
          <w:rFonts w:eastAsia="Times New Roman" w:cs="Arial"/>
        </w:rPr>
      </w:pPr>
      <w:r>
        <w:t>La présente Norme européenne a été élaborée en réponse à la demande de normalisation de la Commission européenne « M/483</w:t>
      </w:r>
      <w:r w:rsidR="001F44BE">
        <w:t> </w:t>
      </w:r>
      <w:r>
        <w:t>Mandat de normalisation adressé au CEN et au CENELEC dans le domaine de l’interopérabilité du système ferroviaire » afin d’offrir un moyen volontaire de se conformer (à certaines) des exigences essentielles de la Directive</w:t>
      </w:r>
      <w:r w:rsidR="001F44BE">
        <w:t> </w:t>
      </w:r>
      <w:r>
        <w:t>(UE)</w:t>
      </w:r>
      <w:r w:rsidR="001F44BE">
        <w:t> </w:t>
      </w:r>
      <w:r>
        <w:t>2016/797 du Parlement européen et du Conseil du</w:t>
      </w:r>
      <w:r w:rsidR="00FE7CCD">
        <w:t> </w:t>
      </w:r>
      <w:r>
        <w:t>11</w:t>
      </w:r>
      <w:r w:rsidR="00FE7CCD">
        <w:t> </w:t>
      </w:r>
      <w:r>
        <w:t>mai</w:t>
      </w:r>
      <w:r w:rsidR="00FE7CCD">
        <w:t> </w:t>
      </w:r>
      <w:r>
        <w:t>2016 relative à l’interopérabilité du système ferroviaire (refonte) comme indiqué dans la spécification technique d’interopérabilité</w:t>
      </w:r>
      <w:r w:rsidR="00FE7CCD">
        <w:t> </w:t>
      </w:r>
      <w:r>
        <w:t>(STI).</w:t>
      </w:r>
    </w:p>
    <w:p w:rsidR="004E0BE9" w:rsidRPr="00CB6ACA" w:rsidRDefault="004E0BE9" w:rsidP="00FE7CCD">
      <w:pPr>
        <w:rPr>
          <w:rFonts w:eastAsia="Times New Roman" w:cs="Arial"/>
        </w:rPr>
      </w:pPr>
      <w:r>
        <w:t>Une fois la présente norme citée au Journal officiel de l’Union européenne au titre de ladite Directive, la conformité aux articles normatifs de cette norme indiqués dans le</w:t>
      </w:r>
      <w:r w:rsidR="00FE7CCD">
        <w:t> </w:t>
      </w:r>
      <w:r w:rsidRPr="001F44BE">
        <w:rPr>
          <w:color w:val="FF0000"/>
        </w:rPr>
        <w:t>[Tableau ZA.1 relatif aux wagons pour le fret] [, et dans le</w:t>
      </w:r>
      <w:r w:rsidR="00FE7CCD" w:rsidRPr="001F44BE">
        <w:rPr>
          <w:color w:val="FF0000"/>
        </w:rPr>
        <w:t> </w:t>
      </w:r>
      <w:r w:rsidRPr="001F44BE">
        <w:rPr>
          <w:color w:val="FF0000"/>
        </w:rPr>
        <w:t>Tableau ZA.2 relatif aux locomotives et matériel roulant destiné au transport de passagers, et ...]</w:t>
      </w:r>
      <w:r>
        <w:t xml:space="preserve"> confère, dans les limites du domaine d’application de la norme, présomption de conformité aux exigences essentielles correspondantes de ladite Directive comme indiqué dans la spécification technique d’interopérabilité (STI), et de la réglementation AELE associée.</w:t>
      </w:r>
    </w:p>
    <w:p w:rsidR="004E0BE9" w:rsidRDefault="004E0BE9" w:rsidP="00FE7CCD">
      <w:pPr>
        <w:pStyle w:val="Tabletitle"/>
        <w:rPr>
          <w:szCs w:val="24"/>
        </w:rPr>
      </w:pPr>
      <w:r>
        <w:t>Tableau ZA.1 — Correspondance entre la présente Norme européenne, le</w:t>
      </w:r>
      <w:r w:rsidR="00AD0568">
        <w:t> </w:t>
      </w:r>
      <w:r>
        <w:t>Règlement</w:t>
      </w:r>
      <w:r w:rsidR="00FE7CCD">
        <w:t> </w:t>
      </w:r>
      <w:r>
        <w:t>(UE)</w:t>
      </w:r>
      <w:r w:rsidR="00FE7CCD">
        <w:t> </w:t>
      </w:r>
      <w:r>
        <w:t>N° 321/2013 de la Commission relatif à la spécification technique d’interopérabilité (STI) concernant le sous-système « matériel roulant – wagons pour le fret » du système ferroviaire dans l’Union européenne</w:t>
      </w:r>
      <w:r w:rsidR="00AD0568">
        <w:rPr>
          <w:rStyle w:val="Appelnotedebasdep"/>
        </w:rPr>
        <w:footnoteReference w:id="1"/>
      </w:r>
      <w:r w:rsidR="00AD0568">
        <w:t xml:space="preserve"> </w:t>
      </w:r>
      <w:r>
        <w:t>et la Directive (UE) 2016/797</w:t>
      </w:r>
    </w:p>
    <w:p w:rsidR="004E0BE9" w:rsidRDefault="005D3921" w:rsidP="005D3921">
      <w:pPr>
        <w:pStyle w:val="Note"/>
        <w:rPr>
          <w:b/>
        </w:rPr>
      </w:pPr>
      <w:r>
        <w:t>NOTE</w:t>
      </w:r>
      <w:r>
        <w:tab/>
      </w:r>
      <w:r w:rsidR="004E0BE9">
        <w:t>La Spécification technique d’interopérabilité (STI) peut faire référence à d’autres articles de la présente norme, ce qui rend obligatoire l’application desdits articles. Des références possibles à ces articles figurent dans l’Appendice D à la STI.</w:t>
      </w:r>
    </w:p>
    <w:tbl>
      <w:tblPr>
        <w:tblW w:w="9694" w:type="dxa"/>
        <w:tblInd w:w="-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551"/>
        <w:gridCol w:w="2608"/>
        <w:gridCol w:w="2211"/>
        <w:gridCol w:w="2324"/>
      </w:tblGrid>
      <w:tr w:rsidR="004E0BE9" w:rsidRPr="00E8547B" w:rsidTr="00AD0568">
        <w:tc>
          <w:tcPr>
            <w:tcW w:w="2551" w:type="dxa"/>
          </w:tcPr>
          <w:p w:rsidR="004E0BE9" w:rsidRPr="00FE7CCD" w:rsidRDefault="004E0BE9" w:rsidP="00FE7CCD">
            <w:pPr>
              <w:spacing w:before="60" w:after="60" w:line="200" w:lineRule="atLeast"/>
              <w:jc w:val="center"/>
              <w:rPr>
                <w:b/>
                <w:color w:val="000000"/>
                <w:sz w:val="20"/>
                <w:szCs w:val="20"/>
              </w:rPr>
            </w:pPr>
            <w:r w:rsidRPr="00FE7CCD">
              <w:rPr>
                <w:b/>
                <w:color w:val="000000"/>
                <w:sz w:val="20"/>
                <w:szCs w:val="20"/>
              </w:rPr>
              <w:t>Exigences essentielles de la Directive</w:t>
            </w:r>
            <w:r w:rsidR="00FE7CCD" w:rsidRPr="00FE7CCD">
              <w:rPr>
                <w:b/>
                <w:color w:val="000000"/>
                <w:sz w:val="20"/>
                <w:szCs w:val="20"/>
              </w:rPr>
              <w:t> </w:t>
            </w:r>
            <w:r w:rsidRPr="00FE7CCD">
              <w:rPr>
                <w:b/>
                <w:color w:val="000000"/>
                <w:sz w:val="20"/>
                <w:szCs w:val="20"/>
              </w:rPr>
              <w:t>(UE)</w:t>
            </w:r>
            <w:r w:rsidR="00FE7CCD" w:rsidRPr="00FE7CCD">
              <w:rPr>
                <w:b/>
                <w:color w:val="000000"/>
                <w:sz w:val="20"/>
                <w:szCs w:val="20"/>
              </w:rPr>
              <w:t xml:space="preserve"> </w:t>
            </w:r>
            <w:r w:rsidRPr="00FE7CCD">
              <w:rPr>
                <w:b/>
                <w:color w:val="000000"/>
                <w:sz w:val="20"/>
                <w:szCs w:val="20"/>
              </w:rPr>
              <w:t>2016/797</w:t>
            </w:r>
          </w:p>
        </w:tc>
        <w:tc>
          <w:tcPr>
            <w:tcW w:w="2608" w:type="dxa"/>
          </w:tcPr>
          <w:p w:rsidR="004E0BE9" w:rsidRPr="00FE7CCD" w:rsidRDefault="004E0BE9" w:rsidP="00FE7CCD">
            <w:pPr>
              <w:spacing w:before="60" w:after="60" w:line="200" w:lineRule="atLeast"/>
              <w:jc w:val="center"/>
              <w:rPr>
                <w:b/>
                <w:color w:val="000000"/>
                <w:sz w:val="20"/>
                <w:szCs w:val="20"/>
              </w:rPr>
            </w:pPr>
            <w:r w:rsidRPr="00FE7CCD">
              <w:rPr>
                <w:b/>
                <w:color w:val="000000"/>
                <w:sz w:val="20"/>
                <w:szCs w:val="20"/>
              </w:rPr>
              <w:t xml:space="preserve">Articles de l’Annexe à la Spécification technique d’interopérabilité (STI) </w:t>
            </w:r>
          </w:p>
        </w:tc>
        <w:tc>
          <w:tcPr>
            <w:tcW w:w="2211" w:type="dxa"/>
          </w:tcPr>
          <w:p w:rsidR="004E0BE9" w:rsidRPr="00FE7CCD" w:rsidRDefault="004E0BE9" w:rsidP="00FE7CCD">
            <w:pPr>
              <w:spacing w:before="60" w:after="60" w:line="200" w:lineRule="atLeast"/>
              <w:jc w:val="center"/>
              <w:rPr>
                <w:b/>
                <w:color w:val="000000"/>
                <w:sz w:val="20"/>
                <w:szCs w:val="20"/>
              </w:rPr>
            </w:pPr>
            <w:r w:rsidRPr="00FE7CCD">
              <w:rPr>
                <w:b/>
                <w:color w:val="000000"/>
                <w:sz w:val="20"/>
                <w:szCs w:val="20"/>
              </w:rPr>
              <w:t>Articles/paragraphes de la présente Norme européenne</w:t>
            </w:r>
          </w:p>
        </w:tc>
        <w:tc>
          <w:tcPr>
            <w:tcW w:w="2324" w:type="dxa"/>
          </w:tcPr>
          <w:p w:rsidR="004E0BE9" w:rsidRPr="00FE7CCD" w:rsidRDefault="004E0BE9" w:rsidP="00FE7CCD">
            <w:pPr>
              <w:spacing w:before="60" w:after="60" w:line="200" w:lineRule="atLeast"/>
              <w:jc w:val="center"/>
              <w:rPr>
                <w:b/>
                <w:color w:val="000000"/>
                <w:sz w:val="20"/>
                <w:szCs w:val="20"/>
              </w:rPr>
            </w:pPr>
            <w:r w:rsidRPr="00FE7CCD">
              <w:rPr>
                <w:b/>
                <w:color w:val="000000"/>
                <w:sz w:val="20"/>
                <w:szCs w:val="20"/>
              </w:rPr>
              <w:t>Commentaires</w:t>
            </w:r>
          </w:p>
        </w:tc>
      </w:tr>
      <w:tr w:rsidR="004E0BE9" w:rsidRPr="00E8547B" w:rsidTr="00AD0568">
        <w:tc>
          <w:tcPr>
            <w:tcW w:w="2551" w:type="dxa"/>
            <w:vMerge w:val="restart"/>
          </w:tcPr>
          <w:p w:rsidR="004E0BE9" w:rsidRPr="00FE7CCD" w:rsidRDefault="004E0BE9" w:rsidP="004F24D6">
            <w:pPr>
              <w:pStyle w:val="Tabletext10"/>
              <w:spacing w:line="200" w:lineRule="atLeast"/>
              <w:jc w:val="left"/>
            </w:pPr>
            <w:r w:rsidRPr="00FE7CCD">
              <w:t>La section 3 de l’Annexe à la STI indique la correspondance entre les articles de la STI et les exigences essentielles de la</w:t>
            </w:r>
            <w:r w:rsidR="004F24D6">
              <w:t> </w:t>
            </w:r>
            <w:r w:rsidRPr="00FE7CCD">
              <w:t>Directive</w:t>
            </w:r>
            <w:r w:rsidR="00FE7CCD" w:rsidRPr="00FE7CCD">
              <w:t> </w:t>
            </w:r>
            <w:r w:rsidRPr="00FE7CCD">
              <w:t>(UE)</w:t>
            </w:r>
            <w:r w:rsidR="00FE7CCD" w:rsidRPr="00FE7CCD">
              <w:t> </w:t>
            </w:r>
            <w:r w:rsidRPr="00FE7CCD">
              <w:t>2016/797</w:t>
            </w:r>
          </w:p>
        </w:tc>
        <w:tc>
          <w:tcPr>
            <w:tcW w:w="2608" w:type="dxa"/>
          </w:tcPr>
          <w:p w:rsidR="004E0BE9" w:rsidRPr="00FE7CCD" w:rsidRDefault="004E0BE9" w:rsidP="00FE7CCD">
            <w:pPr>
              <w:autoSpaceDE w:val="0"/>
              <w:autoSpaceDN w:val="0"/>
              <w:adjustRightInd w:val="0"/>
              <w:spacing w:before="60" w:after="60" w:line="200" w:lineRule="atLeast"/>
              <w:rPr>
                <w:color w:val="000000"/>
                <w:sz w:val="20"/>
                <w:szCs w:val="20"/>
                <w:lang w:val="en-US"/>
              </w:rPr>
            </w:pPr>
          </w:p>
        </w:tc>
        <w:tc>
          <w:tcPr>
            <w:tcW w:w="2211" w:type="dxa"/>
          </w:tcPr>
          <w:p w:rsidR="004E0BE9" w:rsidRPr="00FE7CCD" w:rsidRDefault="004E0BE9" w:rsidP="00FE7CCD">
            <w:pPr>
              <w:autoSpaceDE w:val="0"/>
              <w:autoSpaceDN w:val="0"/>
              <w:adjustRightInd w:val="0"/>
              <w:spacing w:before="60" w:after="60" w:line="200" w:lineRule="atLeast"/>
              <w:rPr>
                <w:sz w:val="20"/>
                <w:szCs w:val="20"/>
              </w:rPr>
            </w:pPr>
          </w:p>
        </w:tc>
        <w:tc>
          <w:tcPr>
            <w:tcW w:w="2324" w:type="dxa"/>
          </w:tcPr>
          <w:p w:rsidR="004E0BE9" w:rsidRPr="00FE7CCD" w:rsidRDefault="004E0BE9" w:rsidP="00FE7CCD">
            <w:pPr>
              <w:autoSpaceDE w:val="0"/>
              <w:autoSpaceDN w:val="0"/>
              <w:adjustRightInd w:val="0"/>
              <w:spacing w:before="60" w:after="60" w:line="200" w:lineRule="atLeast"/>
              <w:rPr>
                <w:rFonts w:cs="Arial"/>
                <w:kern w:val="18"/>
                <w:sz w:val="20"/>
                <w:szCs w:val="20"/>
                <w:lang w:val="en-US"/>
              </w:rPr>
            </w:pPr>
          </w:p>
        </w:tc>
      </w:tr>
      <w:tr w:rsidR="004E0BE9" w:rsidRPr="00E8547B" w:rsidTr="00AD0568">
        <w:tc>
          <w:tcPr>
            <w:tcW w:w="2551" w:type="dxa"/>
            <w:vMerge/>
          </w:tcPr>
          <w:p w:rsidR="004E0BE9" w:rsidRPr="00FE7CCD" w:rsidRDefault="004E0BE9" w:rsidP="00FE7CCD">
            <w:pPr>
              <w:pStyle w:val="Tabletext10"/>
              <w:spacing w:line="200" w:lineRule="atLeast"/>
              <w:jc w:val="left"/>
            </w:pPr>
          </w:p>
        </w:tc>
        <w:tc>
          <w:tcPr>
            <w:tcW w:w="2608" w:type="dxa"/>
          </w:tcPr>
          <w:p w:rsidR="004E0BE9" w:rsidRPr="00FE7CCD" w:rsidRDefault="004E0BE9" w:rsidP="00FE7CCD">
            <w:pPr>
              <w:autoSpaceDE w:val="0"/>
              <w:autoSpaceDN w:val="0"/>
              <w:adjustRightInd w:val="0"/>
              <w:spacing w:before="60" w:after="60" w:line="200" w:lineRule="atLeast"/>
              <w:rPr>
                <w:color w:val="000000"/>
                <w:sz w:val="20"/>
                <w:szCs w:val="20"/>
              </w:rPr>
            </w:pPr>
          </w:p>
        </w:tc>
        <w:tc>
          <w:tcPr>
            <w:tcW w:w="2211" w:type="dxa"/>
          </w:tcPr>
          <w:p w:rsidR="004E0BE9" w:rsidRPr="00FE7CCD" w:rsidRDefault="004E0BE9" w:rsidP="00FE7CCD">
            <w:pPr>
              <w:autoSpaceDE w:val="0"/>
              <w:autoSpaceDN w:val="0"/>
              <w:adjustRightInd w:val="0"/>
              <w:spacing w:before="60" w:after="60" w:line="200" w:lineRule="atLeast"/>
              <w:rPr>
                <w:sz w:val="20"/>
                <w:szCs w:val="20"/>
              </w:rPr>
            </w:pPr>
          </w:p>
        </w:tc>
        <w:tc>
          <w:tcPr>
            <w:tcW w:w="2324" w:type="dxa"/>
          </w:tcPr>
          <w:p w:rsidR="004E0BE9" w:rsidRPr="00FE7CCD" w:rsidRDefault="004E0BE9" w:rsidP="00FE7CCD">
            <w:pPr>
              <w:autoSpaceDE w:val="0"/>
              <w:autoSpaceDN w:val="0"/>
              <w:adjustRightInd w:val="0"/>
              <w:spacing w:before="60" w:after="60" w:line="200" w:lineRule="atLeast"/>
              <w:rPr>
                <w:color w:val="000000"/>
                <w:sz w:val="20"/>
                <w:szCs w:val="20"/>
                <w:lang w:val="en-US"/>
              </w:rPr>
            </w:pPr>
          </w:p>
        </w:tc>
      </w:tr>
      <w:tr w:rsidR="004E0BE9" w:rsidRPr="00E8547B" w:rsidTr="00AD0568">
        <w:tc>
          <w:tcPr>
            <w:tcW w:w="2551" w:type="dxa"/>
            <w:vMerge/>
          </w:tcPr>
          <w:p w:rsidR="004E0BE9" w:rsidRPr="00FE7CCD" w:rsidRDefault="004E0BE9" w:rsidP="00FE7CCD">
            <w:pPr>
              <w:pStyle w:val="Tabletext10"/>
              <w:spacing w:line="200" w:lineRule="atLeast"/>
              <w:jc w:val="left"/>
            </w:pPr>
          </w:p>
        </w:tc>
        <w:tc>
          <w:tcPr>
            <w:tcW w:w="2608" w:type="dxa"/>
          </w:tcPr>
          <w:p w:rsidR="004E0BE9" w:rsidRPr="00FE7CCD" w:rsidRDefault="004E0BE9" w:rsidP="00FE7CCD">
            <w:pPr>
              <w:autoSpaceDE w:val="0"/>
              <w:autoSpaceDN w:val="0"/>
              <w:adjustRightInd w:val="0"/>
              <w:spacing w:before="60" w:after="60" w:line="200" w:lineRule="atLeast"/>
              <w:rPr>
                <w:color w:val="000000"/>
                <w:sz w:val="20"/>
                <w:szCs w:val="20"/>
              </w:rPr>
            </w:pPr>
          </w:p>
        </w:tc>
        <w:tc>
          <w:tcPr>
            <w:tcW w:w="2211" w:type="dxa"/>
          </w:tcPr>
          <w:p w:rsidR="004E0BE9" w:rsidRPr="00FE7CCD" w:rsidRDefault="004E0BE9" w:rsidP="00FE7CCD">
            <w:pPr>
              <w:autoSpaceDE w:val="0"/>
              <w:autoSpaceDN w:val="0"/>
              <w:adjustRightInd w:val="0"/>
              <w:spacing w:before="60" w:after="60" w:line="200" w:lineRule="atLeast"/>
              <w:rPr>
                <w:sz w:val="20"/>
                <w:szCs w:val="20"/>
              </w:rPr>
            </w:pPr>
          </w:p>
        </w:tc>
        <w:tc>
          <w:tcPr>
            <w:tcW w:w="2324" w:type="dxa"/>
          </w:tcPr>
          <w:p w:rsidR="004E0BE9" w:rsidRPr="00FE7CCD" w:rsidRDefault="004E0BE9" w:rsidP="00FE7CCD">
            <w:pPr>
              <w:autoSpaceDE w:val="0"/>
              <w:autoSpaceDN w:val="0"/>
              <w:adjustRightInd w:val="0"/>
              <w:spacing w:before="60" w:after="60" w:line="200" w:lineRule="atLeast"/>
              <w:rPr>
                <w:color w:val="000000"/>
                <w:sz w:val="20"/>
                <w:szCs w:val="20"/>
                <w:lang w:val="en-US"/>
              </w:rPr>
            </w:pPr>
          </w:p>
        </w:tc>
      </w:tr>
      <w:tr w:rsidR="004E0BE9" w:rsidRPr="00E8547B" w:rsidTr="00AD0568">
        <w:tc>
          <w:tcPr>
            <w:tcW w:w="2551" w:type="dxa"/>
            <w:vMerge/>
          </w:tcPr>
          <w:p w:rsidR="004E0BE9" w:rsidRPr="00FE7CCD" w:rsidRDefault="004E0BE9" w:rsidP="00FE7CCD">
            <w:pPr>
              <w:pStyle w:val="Tabletext10"/>
              <w:spacing w:line="200" w:lineRule="atLeast"/>
              <w:jc w:val="left"/>
            </w:pPr>
          </w:p>
        </w:tc>
        <w:tc>
          <w:tcPr>
            <w:tcW w:w="2608" w:type="dxa"/>
          </w:tcPr>
          <w:p w:rsidR="004E0BE9" w:rsidRPr="00FE7CCD" w:rsidRDefault="004E0BE9" w:rsidP="00FE7CCD">
            <w:pPr>
              <w:autoSpaceDE w:val="0"/>
              <w:autoSpaceDN w:val="0"/>
              <w:adjustRightInd w:val="0"/>
              <w:spacing w:before="60" w:after="60" w:line="200" w:lineRule="atLeast"/>
              <w:rPr>
                <w:color w:val="000000"/>
                <w:sz w:val="20"/>
                <w:szCs w:val="20"/>
              </w:rPr>
            </w:pPr>
          </w:p>
        </w:tc>
        <w:tc>
          <w:tcPr>
            <w:tcW w:w="2211" w:type="dxa"/>
          </w:tcPr>
          <w:p w:rsidR="004E0BE9" w:rsidRPr="00FE7CCD" w:rsidRDefault="004E0BE9" w:rsidP="00FE7CCD">
            <w:pPr>
              <w:autoSpaceDE w:val="0"/>
              <w:autoSpaceDN w:val="0"/>
              <w:adjustRightInd w:val="0"/>
              <w:spacing w:before="60" w:after="60" w:line="200" w:lineRule="atLeast"/>
              <w:rPr>
                <w:sz w:val="20"/>
                <w:szCs w:val="20"/>
              </w:rPr>
            </w:pPr>
          </w:p>
        </w:tc>
        <w:tc>
          <w:tcPr>
            <w:tcW w:w="2324" w:type="dxa"/>
          </w:tcPr>
          <w:p w:rsidR="004E0BE9" w:rsidRPr="00FE7CCD" w:rsidRDefault="004E0BE9" w:rsidP="00FE7CCD">
            <w:pPr>
              <w:autoSpaceDE w:val="0"/>
              <w:autoSpaceDN w:val="0"/>
              <w:adjustRightInd w:val="0"/>
              <w:spacing w:before="60" w:after="60" w:line="200" w:lineRule="atLeast"/>
              <w:rPr>
                <w:color w:val="000000"/>
                <w:sz w:val="20"/>
                <w:szCs w:val="20"/>
                <w:lang w:val="en-US"/>
              </w:rPr>
            </w:pPr>
          </w:p>
        </w:tc>
      </w:tr>
      <w:tr w:rsidR="004E0BE9" w:rsidRPr="00E8547B" w:rsidTr="00AD0568">
        <w:tc>
          <w:tcPr>
            <w:tcW w:w="2551" w:type="dxa"/>
          </w:tcPr>
          <w:p w:rsidR="004E0BE9" w:rsidRPr="00FE7CCD" w:rsidRDefault="004E0BE9" w:rsidP="00FE7CCD">
            <w:pPr>
              <w:pStyle w:val="Tabletext10"/>
              <w:spacing w:line="200" w:lineRule="atLeast"/>
              <w:jc w:val="left"/>
            </w:pPr>
            <w:r w:rsidRPr="00FE7CCD">
              <w:t>EE x y ...</w:t>
            </w:r>
          </w:p>
        </w:tc>
        <w:tc>
          <w:tcPr>
            <w:tcW w:w="2608" w:type="dxa"/>
          </w:tcPr>
          <w:p w:rsidR="004E0BE9" w:rsidRPr="00FE7CCD" w:rsidRDefault="004E0BE9" w:rsidP="00FE7CCD">
            <w:pPr>
              <w:autoSpaceDE w:val="0"/>
              <w:autoSpaceDN w:val="0"/>
              <w:adjustRightInd w:val="0"/>
              <w:spacing w:before="60" w:after="60" w:line="200" w:lineRule="atLeast"/>
              <w:rPr>
                <w:color w:val="000000"/>
                <w:sz w:val="20"/>
                <w:szCs w:val="20"/>
              </w:rPr>
            </w:pPr>
            <w:r w:rsidRPr="00FE7CCD">
              <w:rPr>
                <w:color w:val="000000"/>
                <w:sz w:val="20"/>
                <w:szCs w:val="20"/>
              </w:rPr>
              <w:t>Pas de présomption de conformité à un article spécifique de la STI.</w:t>
            </w:r>
          </w:p>
          <w:p w:rsidR="004E0BE9" w:rsidRPr="00FE7CCD" w:rsidRDefault="004E0BE9" w:rsidP="00FE7CCD">
            <w:pPr>
              <w:autoSpaceDE w:val="0"/>
              <w:autoSpaceDN w:val="0"/>
              <w:adjustRightInd w:val="0"/>
              <w:spacing w:before="60" w:after="60" w:line="200" w:lineRule="atLeast"/>
              <w:rPr>
                <w:color w:val="000000"/>
                <w:sz w:val="20"/>
                <w:szCs w:val="20"/>
              </w:rPr>
            </w:pPr>
            <w:r w:rsidRPr="00FE7CCD">
              <w:rPr>
                <w:color w:val="000000"/>
                <w:sz w:val="20"/>
                <w:szCs w:val="20"/>
              </w:rPr>
              <w:t>ou</w:t>
            </w:r>
          </w:p>
          <w:p w:rsidR="004E0BE9" w:rsidRPr="00FE7CCD" w:rsidRDefault="004E0BE9" w:rsidP="00FE7CCD">
            <w:pPr>
              <w:autoSpaceDE w:val="0"/>
              <w:autoSpaceDN w:val="0"/>
              <w:adjustRightInd w:val="0"/>
              <w:spacing w:before="60" w:after="60" w:line="200" w:lineRule="atLeast"/>
              <w:rPr>
                <w:color w:val="000000"/>
                <w:sz w:val="20"/>
                <w:szCs w:val="20"/>
              </w:rPr>
            </w:pPr>
            <w:r w:rsidRPr="00FE7CCD">
              <w:rPr>
                <w:color w:val="000000"/>
                <w:sz w:val="20"/>
                <w:szCs w:val="20"/>
              </w:rPr>
              <w:t>N’est pas explicitement couverte par la STI.</w:t>
            </w:r>
          </w:p>
        </w:tc>
        <w:tc>
          <w:tcPr>
            <w:tcW w:w="2211" w:type="dxa"/>
          </w:tcPr>
          <w:p w:rsidR="004E0BE9" w:rsidRPr="00FE7CCD" w:rsidRDefault="004E0BE9" w:rsidP="00FE7CCD">
            <w:pPr>
              <w:autoSpaceDE w:val="0"/>
              <w:autoSpaceDN w:val="0"/>
              <w:adjustRightInd w:val="0"/>
              <w:spacing w:before="60" w:after="60" w:line="200" w:lineRule="atLeast"/>
              <w:rPr>
                <w:sz w:val="20"/>
                <w:szCs w:val="20"/>
              </w:rPr>
            </w:pPr>
          </w:p>
        </w:tc>
        <w:tc>
          <w:tcPr>
            <w:tcW w:w="2324" w:type="dxa"/>
          </w:tcPr>
          <w:p w:rsidR="004E0BE9" w:rsidRPr="00FE7CCD" w:rsidRDefault="004E0BE9" w:rsidP="00FE7CCD">
            <w:pPr>
              <w:autoSpaceDE w:val="0"/>
              <w:autoSpaceDN w:val="0"/>
              <w:adjustRightInd w:val="0"/>
              <w:spacing w:before="60" w:after="60" w:line="200" w:lineRule="atLeast"/>
              <w:rPr>
                <w:color w:val="000000"/>
                <w:sz w:val="20"/>
                <w:szCs w:val="20"/>
                <w:lang w:val="en-US"/>
              </w:rPr>
            </w:pPr>
          </w:p>
        </w:tc>
      </w:tr>
    </w:tbl>
    <w:p w:rsidR="004E0BE9" w:rsidRDefault="004E0BE9" w:rsidP="00AD0568">
      <w:pPr>
        <w:pStyle w:val="Notice"/>
        <w:spacing w:before="240"/>
        <w:rPr>
          <w:rFonts w:eastAsia="Cambria" w:cs="Cambria"/>
        </w:rPr>
      </w:pPr>
      <w:r>
        <w:rPr>
          <w:b/>
          <w:bCs/>
        </w:rPr>
        <w:lastRenderedPageBreak/>
        <w:t>AVERTISSEMENT 1</w:t>
      </w:r>
      <w:r>
        <w:t xml:space="preserve">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 </w:t>
      </w:r>
    </w:p>
    <w:p w:rsidR="004E0BE9" w:rsidRDefault="004E0BE9" w:rsidP="00FE7CCD">
      <w:pPr>
        <w:pStyle w:val="Notice"/>
        <w:rPr>
          <w:b/>
        </w:rPr>
      </w:pPr>
      <w:r w:rsidRPr="00FE7CCD">
        <w:rPr>
          <w:b/>
          <w:bCs/>
        </w:rPr>
        <w:t>AVERTISSEMENT</w:t>
      </w:r>
      <w:r w:rsidR="00FE7CCD" w:rsidRPr="00FE7CCD">
        <w:rPr>
          <w:b/>
        </w:rPr>
        <w:t> </w:t>
      </w:r>
      <w:r w:rsidRPr="00FE7CCD">
        <w:rPr>
          <w:b/>
          <w:bCs/>
        </w:rPr>
        <w:t>2</w:t>
      </w:r>
      <w:r>
        <w:t xml:space="preserve"> — </w:t>
      </w:r>
      <w:r w:rsidRPr="00F264E7">
        <w:t>D'autres dispositions de la législation de l’Union européenne peuvent être applicables aux produits relevant du domaine d'application de la présente norme.</w:t>
      </w:r>
    </w:p>
    <w:p w:rsidR="00FE7CCD" w:rsidRDefault="00FE7CCD" w:rsidP="00FE7CCD">
      <w:bookmarkStart w:id="0" w:name="_GoBack"/>
      <w:bookmarkEnd w:id="0"/>
    </w:p>
    <w:p w:rsidR="00FE7CCD" w:rsidRPr="00D07842" w:rsidRDefault="00FE7CCD" w:rsidP="00FE7CCD">
      <w:pPr>
        <w:rPr>
          <w:szCs w:val="24"/>
        </w:rPr>
      </w:pPr>
    </w:p>
    <w:p w:rsidR="00FE7CCD" w:rsidRDefault="00FE7CCD" w:rsidP="00FE7CCD"/>
    <w:p w:rsidR="00FE7CCD" w:rsidRPr="00F264E7" w:rsidRDefault="00FE7CCD" w:rsidP="00FE7CCD"/>
    <w:sectPr w:rsidR="00FE7CCD" w:rsidRPr="00F264E7" w:rsidSect="00BE5DBC">
      <w:footerReference w:type="even" r:id="rId11"/>
      <w:footerReference w:type="default" r:id="rId12"/>
      <w:footnotePr>
        <w:numFmt w:val="chicago"/>
      </w:footnotePr>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68" w:rsidRDefault="00AD0568" w:rsidP="00AD0568">
      <w:pPr>
        <w:spacing w:after="0" w:line="240" w:lineRule="auto"/>
      </w:pPr>
      <w:r>
        <w:separator/>
      </w:r>
    </w:p>
  </w:endnote>
  <w:endnote w:type="continuationSeparator" w:id="0">
    <w:p w:rsidR="00AD0568" w:rsidRDefault="00AD0568" w:rsidP="00AD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0C" w:rsidRDefault="00CF460C" w:rsidP="00CF460C">
    <w:pPr>
      <w:pStyle w:val="Pieddepage"/>
      <w:spacing w:before="283" w:after="283" w:line="22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0C" w:rsidRDefault="00CF460C" w:rsidP="00CF460C">
    <w:pPr>
      <w:pStyle w:val="Pieddepage"/>
      <w:spacing w:before="283" w:after="283" w:line="22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68" w:rsidRDefault="00AD0568" w:rsidP="00AD0568">
      <w:pPr>
        <w:spacing w:after="0" w:line="240" w:lineRule="auto"/>
      </w:pPr>
      <w:r>
        <w:separator/>
      </w:r>
    </w:p>
  </w:footnote>
  <w:footnote w:type="continuationSeparator" w:id="0">
    <w:p w:rsidR="00AD0568" w:rsidRDefault="00AD0568" w:rsidP="00AD0568">
      <w:pPr>
        <w:spacing w:after="0" w:line="240" w:lineRule="auto"/>
      </w:pPr>
      <w:r>
        <w:continuationSeparator/>
      </w:r>
    </w:p>
  </w:footnote>
  <w:footnote w:id="1">
    <w:p w:rsidR="00AD0568" w:rsidRDefault="00AD0568">
      <w:pPr>
        <w:pStyle w:val="Notedebasdepage"/>
      </w:pPr>
      <w:r>
        <w:rPr>
          <w:rStyle w:val="Appelnotedebasdep"/>
        </w:rPr>
        <w:footnoteRef/>
      </w:r>
      <w:r>
        <w:t xml:space="preserve"> Comme modifié par le Règlement (UE) N° 1236/2013 de la Commission, le Règlement (UE) 2015/924 de la Commission, le Règlement d’exécution (UE) 2019/776 de la Commission et le Règlement d’exécution (UE) 2020/387 de la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2CA05C3"/>
    <w:multiLevelType w:val="multilevel"/>
    <w:tmpl w:val="EE5CF91E"/>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8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9"/>
    <w:rsid w:val="000E3AAC"/>
    <w:rsid w:val="001F44BE"/>
    <w:rsid w:val="002052AD"/>
    <w:rsid w:val="0026271B"/>
    <w:rsid w:val="004E0BE9"/>
    <w:rsid w:val="004F24D6"/>
    <w:rsid w:val="005D3921"/>
    <w:rsid w:val="006D57F5"/>
    <w:rsid w:val="00734741"/>
    <w:rsid w:val="00857F48"/>
    <w:rsid w:val="009A19F3"/>
    <w:rsid w:val="009C4846"/>
    <w:rsid w:val="00AD0568"/>
    <w:rsid w:val="00BE5DBC"/>
    <w:rsid w:val="00CF460C"/>
    <w:rsid w:val="00DB2DAA"/>
    <w:rsid w:val="00DF12C8"/>
    <w:rsid w:val="00F264E7"/>
    <w:rsid w:val="00FE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E389-CFDA-4EA4-BA77-513D8C7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CD"/>
    <w:pPr>
      <w:spacing w:after="240" w:line="240" w:lineRule="atLeast"/>
      <w:jc w:val="both"/>
    </w:pPr>
    <w:rPr>
      <w:rFonts w:ascii="Cambria" w:eastAsia="Calibri"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4E0BE9"/>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E0BE9"/>
    <w:rPr>
      <w:sz w:val="20"/>
      <w:szCs w:val="20"/>
    </w:rPr>
  </w:style>
  <w:style w:type="table" w:styleId="Grilledutableau">
    <w:name w:val="Table Grid"/>
    <w:basedOn w:val="TableauNormal"/>
    <w:uiPriority w:val="39"/>
    <w:rsid w:val="004E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Z">
    <w:name w:val="ANNEXZ"/>
    <w:basedOn w:val="Normal"/>
    <w:link w:val="ANNEXZChar"/>
    <w:rsid w:val="004E0BE9"/>
    <w:pPr>
      <w:keepNext/>
      <w:pageBreakBefore/>
      <w:numPr>
        <w:numId w:val="1"/>
      </w:numPr>
      <w:autoSpaceDE w:val="0"/>
      <w:autoSpaceDN w:val="0"/>
      <w:adjustRightInd w:val="0"/>
      <w:spacing w:after="760" w:line="310" w:lineRule="exact"/>
      <w:jc w:val="center"/>
      <w:outlineLvl w:val="0"/>
    </w:pPr>
    <w:rPr>
      <w:b/>
      <w:sz w:val="28"/>
      <w:szCs w:val="24"/>
    </w:rPr>
  </w:style>
  <w:style w:type="paragraph" w:styleId="Corpsdetexte">
    <w:name w:val="Body Text"/>
    <w:basedOn w:val="Normal"/>
    <w:link w:val="CorpsdetexteCar"/>
    <w:uiPriority w:val="99"/>
    <w:unhideWhenUsed/>
    <w:rsid w:val="004E0BE9"/>
    <w:pPr>
      <w:spacing w:after="120"/>
    </w:pPr>
  </w:style>
  <w:style w:type="character" w:customStyle="1" w:styleId="CorpsdetexteCar">
    <w:name w:val="Corps de texte Car"/>
    <w:basedOn w:val="Policepardfaut"/>
    <w:link w:val="Corpsdetexte"/>
    <w:uiPriority w:val="99"/>
    <w:rsid w:val="004E0BE9"/>
    <w:rPr>
      <w:rFonts w:ascii="Cambria" w:eastAsia="Calibri" w:hAnsi="Cambria" w:cs="Times New Roman"/>
    </w:rPr>
  </w:style>
  <w:style w:type="paragraph" w:customStyle="1" w:styleId="Tabletext10">
    <w:name w:val="Table text (10)"/>
    <w:basedOn w:val="Normal"/>
    <w:link w:val="Tabletext10Char"/>
    <w:uiPriority w:val="99"/>
    <w:rsid w:val="004E0BE9"/>
    <w:pPr>
      <w:spacing w:before="60" w:after="60"/>
    </w:pPr>
    <w:rPr>
      <w:rFonts w:eastAsia="MS Mincho"/>
      <w:sz w:val="20"/>
      <w:szCs w:val="20"/>
      <w:lang w:eastAsia="ja-JP"/>
    </w:rPr>
  </w:style>
  <w:style w:type="paragraph" w:customStyle="1" w:styleId="Tabletitle">
    <w:name w:val="Table title"/>
    <w:basedOn w:val="Normal"/>
    <w:link w:val="TabletitleChar"/>
    <w:rsid w:val="00FE7CCD"/>
    <w:pPr>
      <w:keepNext/>
      <w:suppressAutoHyphens/>
      <w:jc w:val="center"/>
    </w:pPr>
    <w:rPr>
      <w:b/>
    </w:rPr>
  </w:style>
  <w:style w:type="character" w:customStyle="1" w:styleId="Tabletext10Char">
    <w:name w:val="Table text (10) Char"/>
    <w:basedOn w:val="Policepardfaut"/>
    <w:link w:val="Tabletext10"/>
    <w:uiPriority w:val="99"/>
    <w:rsid w:val="004E0BE9"/>
    <w:rPr>
      <w:rFonts w:ascii="Cambria" w:eastAsia="MS Mincho" w:hAnsi="Cambria" w:cs="Times New Roman"/>
      <w:sz w:val="20"/>
      <w:szCs w:val="20"/>
      <w:lang w:eastAsia="ja-JP"/>
    </w:rPr>
  </w:style>
  <w:style w:type="paragraph" w:customStyle="1" w:styleId="za2">
    <w:name w:val="za2"/>
    <w:basedOn w:val="Normal"/>
    <w:next w:val="Corpsdetexte"/>
    <w:rsid w:val="004E0BE9"/>
    <w:pPr>
      <w:keepNext/>
      <w:numPr>
        <w:ilvl w:val="1"/>
        <w:numId w:val="1"/>
      </w:numPr>
      <w:tabs>
        <w:tab w:val="left" w:pos="499"/>
        <w:tab w:val="left" w:pos="720"/>
      </w:tabs>
      <w:spacing w:before="270" w:line="270" w:lineRule="exact"/>
      <w:outlineLvl w:val="0"/>
    </w:pPr>
    <w:rPr>
      <w:b/>
      <w:sz w:val="26"/>
    </w:rPr>
  </w:style>
  <w:style w:type="paragraph" w:customStyle="1" w:styleId="za3">
    <w:name w:val="za3"/>
    <w:basedOn w:val="Normal"/>
    <w:rsid w:val="004E0BE9"/>
    <w:pPr>
      <w:keepNext/>
      <w:numPr>
        <w:ilvl w:val="2"/>
        <w:numId w:val="1"/>
      </w:numPr>
      <w:tabs>
        <w:tab w:val="left" w:pos="851"/>
      </w:tabs>
      <w:spacing w:line="250" w:lineRule="exact"/>
      <w:outlineLvl w:val="0"/>
    </w:pPr>
    <w:rPr>
      <w:b/>
      <w:sz w:val="24"/>
    </w:rPr>
  </w:style>
  <w:style w:type="paragraph" w:customStyle="1" w:styleId="za4">
    <w:name w:val="za4"/>
    <w:basedOn w:val="Normal"/>
    <w:rsid w:val="004E0BE9"/>
    <w:pPr>
      <w:keepNext/>
      <w:numPr>
        <w:ilvl w:val="3"/>
        <w:numId w:val="1"/>
      </w:numPr>
      <w:tabs>
        <w:tab w:val="left" w:pos="992"/>
      </w:tabs>
      <w:outlineLvl w:val="0"/>
    </w:pPr>
    <w:rPr>
      <w:b/>
    </w:rPr>
  </w:style>
  <w:style w:type="paragraph" w:customStyle="1" w:styleId="za5">
    <w:name w:val="za5"/>
    <w:basedOn w:val="Normal"/>
    <w:rsid w:val="004E0BE9"/>
    <w:pPr>
      <w:keepNext/>
      <w:numPr>
        <w:ilvl w:val="4"/>
        <w:numId w:val="1"/>
      </w:numPr>
      <w:tabs>
        <w:tab w:val="left" w:pos="1106"/>
      </w:tabs>
      <w:outlineLvl w:val="0"/>
    </w:pPr>
    <w:rPr>
      <w:b/>
    </w:rPr>
  </w:style>
  <w:style w:type="paragraph" w:customStyle="1" w:styleId="za6">
    <w:name w:val="za6"/>
    <w:basedOn w:val="Normal"/>
    <w:next w:val="Corpsdetexte"/>
    <w:rsid w:val="004E0BE9"/>
    <w:pPr>
      <w:keepNext/>
      <w:numPr>
        <w:ilvl w:val="5"/>
        <w:numId w:val="1"/>
      </w:numPr>
      <w:tabs>
        <w:tab w:val="left" w:pos="1219"/>
      </w:tabs>
      <w:outlineLvl w:val="0"/>
    </w:pPr>
    <w:rPr>
      <w:b/>
    </w:rPr>
  </w:style>
  <w:style w:type="character" w:customStyle="1" w:styleId="TabletitleChar">
    <w:name w:val="Table title Char"/>
    <w:link w:val="Tabletitle"/>
    <w:rsid w:val="00FE7CCD"/>
    <w:rPr>
      <w:rFonts w:ascii="Cambria" w:eastAsia="Calibri" w:hAnsi="Cambria" w:cs="Times New Roman"/>
      <w:b/>
    </w:rPr>
  </w:style>
  <w:style w:type="character" w:customStyle="1" w:styleId="ANNEXZChar">
    <w:name w:val="ANNEXZ Char"/>
    <w:basedOn w:val="Policepardfaut"/>
    <w:link w:val="ANNEXZ"/>
    <w:rsid w:val="004E0BE9"/>
    <w:rPr>
      <w:rFonts w:ascii="Cambria" w:eastAsia="Calibri" w:hAnsi="Cambria" w:cs="Times New Roman"/>
      <w:b/>
      <w:sz w:val="28"/>
      <w:szCs w:val="24"/>
    </w:rPr>
  </w:style>
  <w:style w:type="paragraph" w:customStyle="1" w:styleId="Notice">
    <w:name w:val="Notice"/>
    <w:basedOn w:val="Normal"/>
    <w:rsid w:val="00FE7CCD"/>
  </w:style>
  <w:style w:type="paragraph" w:customStyle="1" w:styleId="Note">
    <w:name w:val="Note"/>
    <w:basedOn w:val="Normal"/>
    <w:rsid w:val="005D3921"/>
    <w:pPr>
      <w:tabs>
        <w:tab w:val="left" w:pos="965"/>
      </w:tabs>
      <w:spacing w:line="220" w:lineRule="atLeast"/>
    </w:pPr>
    <w:rPr>
      <w:sz w:val="20"/>
    </w:rPr>
  </w:style>
  <w:style w:type="paragraph" w:styleId="Notedebasdepage">
    <w:name w:val="footnote text"/>
    <w:basedOn w:val="Normal"/>
    <w:link w:val="NotedebasdepageCar"/>
    <w:uiPriority w:val="99"/>
    <w:semiHidden/>
    <w:unhideWhenUsed/>
    <w:rsid w:val="00AD05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0568"/>
    <w:rPr>
      <w:rFonts w:ascii="Cambria" w:eastAsia="Calibri" w:hAnsi="Cambria" w:cs="Times New Roman"/>
      <w:sz w:val="20"/>
      <w:szCs w:val="20"/>
    </w:rPr>
  </w:style>
  <w:style w:type="character" w:styleId="Appelnotedebasdep">
    <w:name w:val="footnote reference"/>
    <w:basedOn w:val="Policepardfaut"/>
    <w:uiPriority w:val="99"/>
    <w:semiHidden/>
    <w:unhideWhenUsed/>
    <w:rsid w:val="00AD0568"/>
    <w:rPr>
      <w:vertAlign w:val="superscript"/>
    </w:rPr>
  </w:style>
  <w:style w:type="paragraph" w:styleId="En-tte">
    <w:name w:val="header"/>
    <w:basedOn w:val="Normal"/>
    <w:link w:val="En-tteCar"/>
    <w:uiPriority w:val="99"/>
    <w:unhideWhenUsed/>
    <w:rsid w:val="00CF460C"/>
    <w:pPr>
      <w:tabs>
        <w:tab w:val="center" w:pos="4536"/>
        <w:tab w:val="right" w:pos="9072"/>
      </w:tabs>
      <w:spacing w:after="0" w:line="240" w:lineRule="auto"/>
    </w:pPr>
  </w:style>
  <w:style w:type="character" w:customStyle="1" w:styleId="En-tteCar">
    <w:name w:val="En-tête Car"/>
    <w:basedOn w:val="Policepardfaut"/>
    <w:link w:val="En-tte"/>
    <w:uiPriority w:val="99"/>
    <w:rsid w:val="00CF460C"/>
    <w:rPr>
      <w:rFonts w:ascii="Cambria" w:eastAsia="Calibri" w:hAnsi="Cambria" w:cs="Times New Roman"/>
    </w:rPr>
  </w:style>
  <w:style w:type="paragraph" w:styleId="Pieddepage">
    <w:name w:val="footer"/>
    <w:basedOn w:val="Normal"/>
    <w:link w:val="PieddepageCar"/>
    <w:uiPriority w:val="99"/>
    <w:unhideWhenUsed/>
    <w:rsid w:val="00CF46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60C"/>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D5D5-6F3C-4BCF-B9E3-A083F3D4A3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E88A9C-933F-4431-A61C-FA73B880D84E}">
  <ds:schemaRefs>
    <ds:schemaRef ds:uri="http://schemas.microsoft.com/sharepoint/v3/contenttype/forms"/>
  </ds:schemaRefs>
</ds:datastoreItem>
</file>

<file path=customXml/itemProps3.xml><?xml version="1.0" encoding="utf-8"?>
<ds:datastoreItem xmlns:ds="http://schemas.openxmlformats.org/officeDocument/2006/customXml" ds:itemID="{3CA67390-F0ED-411D-82DF-C2C71ED0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EF6648-C5F2-4764-81C3-9E2264F7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2424</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10</vt:i4>
      </vt:variant>
    </vt:vector>
  </HeadingPairs>
  <TitlesOfParts>
    <vt:vector size="12" baseType="lpstr">
      <vt:lpstr>AnnexZA_Railway_E.docx</vt:lpstr>
      <vt:lpstr/>
      <vt:lpstr>(informative)  Relationship between this European Standard and the Essential Re</vt:lpstr>
      <vt:lpstr>Table ZA.1 — Correspondence between this European Standard, Commission Regulatio</vt:lpstr>
      <vt:lpstr/>
      <vt:lpstr>NOTE: The Technical Specification for Interoperability (TSI) can refer to other </vt:lpstr>
      <vt:lpstr/>
      <vt:lpstr/>
      <vt:lpstr>* As amended by Commission Regulation (EU) No 1236/2013, Commission Regulation (</vt:lpstr>
      <vt:lpstr>WARNING 2 — Other Union legislation may be applicable to the products falling wi</vt:lpstr>
      <vt:lpstr/>
      <vt:lpstr/>
    </vt:vector>
  </TitlesOfParts>
  <Company>CENCENELEC</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AnnexZA_Railway_E.docx</dc:title>
  <dc:subject/>
  <dc:creator>Legrand Thierry</dc:creator>
  <cp:keywords/>
  <dc:description/>
  <cp:lastModifiedBy>gomez rafaële</cp:lastModifiedBy>
  <cp:revision>9</cp:revision>
  <dcterms:created xsi:type="dcterms:W3CDTF">2020-11-03T07:13:00Z</dcterms:created>
  <dcterms:modified xsi:type="dcterms:W3CDTF">2020-11-04T10:01:00Z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