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C6" w:rsidRPr="0089769B" w:rsidRDefault="007B3C3D" w:rsidP="00DD60ED">
      <w:pPr>
        <w:pageBreakBefore/>
        <w:rPr>
          <w:rFonts w:ascii="Cambria" w:hAnsi="Cambria"/>
          <w:b/>
          <w:sz w:val="24"/>
          <w:szCs w:val="24"/>
          <w:u w:val="single"/>
        </w:rPr>
      </w:pPr>
      <w:bookmarkStart w:id="0" w:name="_GoBack"/>
      <w:bookmarkEnd w:id="0"/>
      <w:r>
        <w:rPr>
          <w:rFonts w:ascii="Cambria" w:hAnsi="Cambria"/>
          <w:b/>
          <w:sz w:val="32"/>
          <w:szCs w:val="32"/>
          <w:u w:val="single"/>
        </w:rPr>
        <w:t xml:space="preserve">Annex 1: </w:t>
      </w:r>
      <w:r w:rsidR="001317C6">
        <w:rPr>
          <w:rFonts w:ascii="Cambria" w:hAnsi="Cambria"/>
          <w:b/>
          <w:sz w:val="32"/>
          <w:szCs w:val="32"/>
          <w:u w:val="single"/>
        </w:rPr>
        <w:t xml:space="preserve">Recommendations </w:t>
      </w:r>
      <w:r w:rsidR="001317C6" w:rsidRPr="001317C6">
        <w:rPr>
          <w:rFonts w:ascii="Cambria" w:hAnsi="Cambria"/>
          <w:b/>
          <w:sz w:val="32"/>
          <w:szCs w:val="32"/>
          <w:u w:val="single"/>
        </w:rPr>
        <w:t xml:space="preserve">for </w:t>
      </w:r>
      <w:proofErr w:type="spellStart"/>
      <w:r w:rsidR="001317C6" w:rsidRPr="001317C6">
        <w:rPr>
          <w:rFonts w:ascii="Cambria" w:hAnsi="Cambria"/>
          <w:b/>
          <w:sz w:val="32"/>
          <w:szCs w:val="32"/>
          <w:u w:val="single"/>
        </w:rPr>
        <w:t>drafing</w:t>
      </w:r>
      <w:proofErr w:type="spellEnd"/>
      <w:r w:rsidR="001317C6" w:rsidRPr="001317C6">
        <w:rPr>
          <w:rFonts w:ascii="Cambria" w:hAnsi="Cambria"/>
          <w:b/>
          <w:sz w:val="32"/>
          <w:szCs w:val="32"/>
          <w:u w:val="single"/>
        </w:rPr>
        <w:t xml:space="preserve"> and editing</w:t>
      </w:r>
    </w:p>
    <w:p w:rsidR="00E639A7" w:rsidRDefault="001317C6" w:rsidP="007B3C3D">
      <w:pPr>
        <w:rPr>
          <w:rFonts w:ascii="Cambria" w:hAnsi="Cambria"/>
          <w:b/>
          <w:u w:val="single"/>
        </w:rPr>
      </w:pPr>
      <w:r>
        <w:rPr>
          <w:rFonts w:ascii="Cambria" w:hAnsi="Cambria"/>
          <w:b/>
          <w:u w:val="single"/>
        </w:rPr>
        <w:t>A-</w:t>
      </w:r>
      <w:r w:rsidR="00E639A7">
        <w:rPr>
          <w:rFonts w:ascii="Cambria" w:hAnsi="Cambria"/>
          <w:b/>
          <w:u w:val="single"/>
        </w:rPr>
        <w:t>Deviation Templates Proposal</w:t>
      </w:r>
    </w:p>
    <w:p w:rsidR="007B7E3F" w:rsidRPr="007B7E3F" w:rsidRDefault="007B7E3F" w:rsidP="007B7E3F">
      <w:pPr>
        <w:jc w:val="center"/>
        <w:rPr>
          <w:rFonts w:ascii="Cambria" w:hAnsi="Cambria"/>
          <w:b/>
          <w:u w:val="single"/>
        </w:rPr>
      </w:pPr>
    </w:p>
    <w:p w:rsidR="00E639A7" w:rsidRPr="007B7E3F" w:rsidRDefault="00E639A7" w:rsidP="006B1302">
      <w:pPr>
        <w:rPr>
          <w:rFonts w:ascii="Cambria" w:hAnsi="Cambria"/>
          <w:b/>
          <w:sz w:val="28"/>
        </w:rPr>
      </w:pPr>
      <w:r w:rsidRPr="007B7E3F">
        <w:rPr>
          <w:rFonts w:ascii="Cambria" w:hAnsi="Cambria"/>
          <w:b/>
          <w:sz w:val="28"/>
        </w:rPr>
        <w:t>It is strongly recommended</w:t>
      </w:r>
      <w:r w:rsidR="00DD0CBC">
        <w:rPr>
          <w:rFonts w:ascii="Cambria" w:hAnsi="Cambria"/>
          <w:b/>
          <w:sz w:val="28"/>
        </w:rPr>
        <w:t xml:space="preserve"> (for drafters) </w:t>
      </w:r>
      <w:r w:rsidRPr="007B7E3F">
        <w:rPr>
          <w:rFonts w:ascii="Cambria" w:hAnsi="Cambria"/>
          <w:b/>
          <w:sz w:val="28"/>
        </w:rPr>
        <w:t>that one of the two following formats be used</w:t>
      </w:r>
      <w:r w:rsidR="00DD0CBC">
        <w:rPr>
          <w:rFonts w:ascii="Cambria" w:hAnsi="Cambria"/>
          <w:b/>
          <w:sz w:val="28"/>
        </w:rPr>
        <w:t xml:space="preserve"> </w:t>
      </w:r>
    </w:p>
    <w:p w:rsidR="00E639A7" w:rsidRDefault="004872A8" w:rsidP="00801FF9">
      <w:pPr>
        <w:pStyle w:val="ListParagraph"/>
        <w:numPr>
          <w:ilvl w:val="0"/>
          <w:numId w:val="3"/>
        </w:numPr>
        <w:rPr>
          <w:rFonts w:ascii="Cambria" w:hAnsi="Cambria"/>
        </w:rPr>
      </w:pPr>
      <w:r w:rsidRPr="00801FF9">
        <w:rPr>
          <w:rFonts w:ascii="Cambria" w:hAnsi="Cambria"/>
        </w:rPr>
        <w:t>If concrete clauses are involved or the justification is a</w:t>
      </w:r>
      <w:r w:rsidR="00E639A7">
        <w:rPr>
          <w:rFonts w:ascii="Cambria" w:hAnsi="Cambria"/>
        </w:rPr>
        <w:t xml:space="preserve"> group of</w:t>
      </w:r>
      <w:r w:rsidRPr="00801FF9">
        <w:rPr>
          <w:rFonts w:ascii="Cambria" w:hAnsi="Cambria"/>
        </w:rPr>
        <w:t xml:space="preserve"> simple paragraph</w:t>
      </w:r>
      <w:r w:rsidR="00E639A7">
        <w:rPr>
          <w:rFonts w:ascii="Cambria" w:hAnsi="Cambria"/>
        </w:rPr>
        <w:t>s (without tables or figures)</w:t>
      </w:r>
      <w:r w:rsidRPr="00801FF9">
        <w:rPr>
          <w:rFonts w:ascii="Cambria" w:hAnsi="Cambria"/>
        </w:rPr>
        <w:t xml:space="preserve">, the table format </w:t>
      </w:r>
      <w:r w:rsidR="00801FF9" w:rsidRPr="00801FF9">
        <w:rPr>
          <w:rFonts w:ascii="Cambria" w:hAnsi="Cambria"/>
        </w:rPr>
        <w:t>Clause-Deviation is</w:t>
      </w:r>
      <w:r w:rsidRPr="00801FF9">
        <w:rPr>
          <w:rFonts w:ascii="Cambria" w:hAnsi="Cambria"/>
        </w:rPr>
        <w:t xml:space="preserve"> to be used</w:t>
      </w:r>
    </w:p>
    <w:p w:rsidR="00E639A7" w:rsidRDefault="00E639A7" w:rsidP="00E639A7">
      <w:pPr>
        <w:ind w:firstLine="360"/>
        <w:rPr>
          <w:rFonts w:ascii="Cambria" w:hAnsi="Cambria"/>
        </w:rPr>
      </w:pPr>
      <w:r>
        <w:rPr>
          <w:rFonts w:ascii="Cambria" w:hAnsi="Cambria"/>
        </w:rPr>
        <w:t xml:space="preserve">Note: </w:t>
      </w:r>
    </w:p>
    <w:p w:rsidR="00E639A7" w:rsidRPr="00801FF9" w:rsidRDefault="00E639A7" w:rsidP="00E639A7">
      <w:pPr>
        <w:pStyle w:val="ListParagraph"/>
        <w:numPr>
          <w:ilvl w:val="0"/>
          <w:numId w:val="2"/>
        </w:numPr>
        <w:rPr>
          <w:rFonts w:ascii="Cambria" w:hAnsi="Cambria"/>
        </w:rPr>
      </w:pPr>
      <w:r>
        <w:rPr>
          <w:rFonts w:ascii="Cambria" w:hAnsi="Cambria"/>
        </w:rPr>
        <w:t>This format must be a table (with no border), not texts with tabs</w:t>
      </w:r>
    </w:p>
    <w:p w:rsidR="00E639A7" w:rsidRDefault="00E639A7" w:rsidP="00E639A7">
      <w:pPr>
        <w:pStyle w:val="ListParagraph"/>
        <w:numPr>
          <w:ilvl w:val="0"/>
          <w:numId w:val="2"/>
        </w:numPr>
        <w:rPr>
          <w:rFonts w:ascii="Cambria" w:hAnsi="Cambria"/>
        </w:rPr>
      </w:pPr>
      <w:r w:rsidRPr="00575F8E">
        <w:rPr>
          <w:rFonts w:ascii="Cambria" w:hAnsi="Cambria"/>
          <w:u w:val="single"/>
        </w:rPr>
        <w:t>Clause</w:t>
      </w:r>
      <w:r w:rsidRPr="00575F8E">
        <w:rPr>
          <w:rFonts w:ascii="Cambria" w:hAnsi="Cambria"/>
        </w:rPr>
        <w:t xml:space="preserve"> is the clause</w:t>
      </w:r>
      <w:r>
        <w:rPr>
          <w:rFonts w:ascii="Cambria" w:hAnsi="Cambria"/>
        </w:rPr>
        <w:t xml:space="preserve"> number</w:t>
      </w:r>
      <w:r w:rsidRPr="00575F8E">
        <w:rPr>
          <w:rFonts w:ascii="Cambria" w:hAnsi="Cambria"/>
        </w:rPr>
        <w:t xml:space="preserve"> in the standard, not in the national regulation</w:t>
      </w:r>
      <w:r>
        <w:rPr>
          <w:rFonts w:ascii="Cambria" w:hAnsi="Cambria"/>
        </w:rPr>
        <w:t>, detailed information like table 3, figure 2</w:t>
      </w:r>
      <w:proofErr w:type="gramStart"/>
      <w:r>
        <w:rPr>
          <w:rFonts w:ascii="Cambria" w:hAnsi="Cambria"/>
        </w:rPr>
        <w:t>,  is</w:t>
      </w:r>
      <w:proofErr w:type="gramEnd"/>
      <w:r>
        <w:rPr>
          <w:rFonts w:ascii="Cambria" w:hAnsi="Cambria"/>
        </w:rPr>
        <w:t xml:space="preserve"> supposed to be explained in the Deviation, not in Clause column.</w:t>
      </w:r>
    </w:p>
    <w:p w:rsidR="00E639A7" w:rsidRDefault="00E639A7" w:rsidP="00E639A7">
      <w:pPr>
        <w:pStyle w:val="ListParagraph"/>
        <w:numPr>
          <w:ilvl w:val="0"/>
          <w:numId w:val="2"/>
        </w:numPr>
        <w:rPr>
          <w:rFonts w:ascii="Cambria" w:hAnsi="Cambria"/>
        </w:rPr>
      </w:pPr>
      <w:r>
        <w:rPr>
          <w:rFonts w:ascii="Cambria" w:hAnsi="Cambria"/>
        </w:rPr>
        <w:t>Clauses can be grouped as a list of clauses separated by'; '</w:t>
      </w:r>
    </w:p>
    <w:p w:rsidR="00E639A7" w:rsidRDefault="00E639A7" w:rsidP="00E639A7">
      <w:pPr>
        <w:pStyle w:val="ListParagraph"/>
        <w:numPr>
          <w:ilvl w:val="0"/>
          <w:numId w:val="2"/>
        </w:numPr>
        <w:rPr>
          <w:rFonts w:ascii="Cambria" w:hAnsi="Cambria"/>
        </w:rPr>
      </w:pPr>
      <w:r>
        <w:rPr>
          <w:rFonts w:ascii="Cambria" w:hAnsi="Cambria"/>
        </w:rPr>
        <w:t>Country names may be grouped as a list separated by ";"</w:t>
      </w:r>
    </w:p>
    <w:p w:rsidR="00E639A7" w:rsidRPr="00801FF9" w:rsidRDefault="00E639A7" w:rsidP="00E639A7">
      <w:pPr>
        <w:pStyle w:val="ListParagraph"/>
        <w:numPr>
          <w:ilvl w:val="0"/>
          <w:numId w:val="2"/>
        </w:numPr>
        <w:rPr>
          <w:rFonts w:ascii="Cambria" w:hAnsi="Cambria"/>
        </w:rPr>
      </w:pPr>
      <w:r>
        <w:rPr>
          <w:rFonts w:ascii="Cambria" w:hAnsi="Cambria"/>
        </w:rPr>
        <w:t>If no detail clauses involved, use "General";</w:t>
      </w:r>
    </w:p>
    <w:p w:rsidR="00E639A7" w:rsidRDefault="00E639A7" w:rsidP="00E639A7">
      <w:pPr>
        <w:pStyle w:val="ListParagraph"/>
        <w:ind w:left="360"/>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E639A7" w:rsidRPr="0063522F" w:rsidTr="00FA2163">
        <w:tc>
          <w:tcPr>
            <w:tcW w:w="1809" w:type="dxa"/>
          </w:tcPr>
          <w:p w:rsidR="00E639A7" w:rsidRPr="00340A6D" w:rsidRDefault="00E639A7" w:rsidP="00FA2163">
            <w:pPr>
              <w:pStyle w:val="Heading1"/>
              <w:spacing w:before="0"/>
              <w:jc w:val="center"/>
              <w:outlineLvl w:val="0"/>
              <w:rPr>
                <w:rFonts w:ascii="Cambria" w:hAnsi="Cambria"/>
                <w:color w:val="auto"/>
                <w:sz w:val="22"/>
                <w:szCs w:val="22"/>
                <w:u w:val="single"/>
              </w:rPr>
            </w:pPr>
            <w:r w:rsidRPr="00340A6D">
              <w:rPr>
                <w:rFonts w:ascii="Cambria" w:hAnsi="Cambria"/>
                <w:color w:val="auto"/>
                <w:sz w:val="22"/>
                <w:szCs w:val="22"/>
                <w:u w:val="single"/>
              </w:rPr>
              <w:t>Clause</w:t>
            </w:r>
          </w:p>
          <w:p w:rsidR="00E639A7" w:rsidRPr="0063522F" w:rsidRDefault="00E639A7" w:rsidP="00FA2163">
            <w:pPr>
              <w:jc w:val="center"/>
              <w:rPr>
                <w:rFonts w:ascii="Cambria" w:hAnsi="Cambria"/>
                <w:b/>
              </w:rPr>
            </w:pPr>
          </w:p>
        </w:tc>
        <w:tc>
          <w:tcPr>
            <w:tcW w:w="7433" w:type="dxa"/>
          </w:tcPr>
          <w:p w:rsidR="00E639A7" w:rsidRPr="00340A6D" w:rsidRDefault="00E639A7" w:rsidP="00FA2163">
            <w:pPr>
              <w:pStyle w:val="Heading1"/>
              <w:spacing w:before="0"/>
              <w:jc w:val="center"/>
              <w:outlineLvl w:val="0"/>
              <w:rPr>
                <w:rFonts w:ascii="Cambria" w:hAnsi="Cambria"/>
                <w:color w:val="auto"/>
                <w:sz w:val="22"/>
                <w:szCs w:val="22"/>
                <w:u w:val="single"/>
              </w:rPr>
            </w:pPr>
            <w:r w:rsidRPr="00340A6D">
              <w:rPr>
                <w:rFonts w:ascii="Cambria" w:hAnsi="Cambria"/>
                <w:color w:val="auto"/>
                <w:sz w:val="22"/>
                <w:szCs w:val="22"/>
                <w:u w:val="single"/>
              </w:rPr>
              <w:t>Deviation</w:t>
            </w:r>
          </w:p>
        </w:tc>
      </w:tr>
      <w:tr w:rsidR="00EF0313" w:rsidRPr="0063522F" w:rsidTr="00CE1632">
        <w:tc>
          <w:tcPr>
            <w:tcW w:w="1809" w:type="dxa"/>
            <w:vMerge w:val="restart"/>
          </w:tcPr>
          <w:p w:rsidR="00EF0313" w:rsidRPr="0063522F" w:rsidRDefault="00EF0313" w:rsidP="00CE1632">
            <w:pPr>
              <w:pStyle w:val="Heading1"/>
              <w:spacing w:before="0"/>
              <w:outlineLvl w:val="0"/>
              <w:rPr>
                <w:rFonts w:ascii="Cambria" w:hAnsi="Cambria"/>
                <w:b w:val="0"/>
                <w:color w:val="auto"/>
                <w:sz w:val="22"/>
                <w:szCs w:val="22"/>
              </w:rPr>
            </w:pPr>
            <w:r w:rsidRPr="0063522F">
              <w:rPr>
                <w:rFonts w:ascii="Cambria" w:hAnsi="Cambria"/>
                <w:b w:val="0"/>
                <w:color w:val="auto"/>
                <w:sz w:val="22"/>
                <w:szCs w:val="22"/>
              </w:rPr>
              <w:t>&lt;clause-number</w:t>
            </w:r>
            <w:r>
              <w:rPr>
                <w:rFonts w:ascii="Cambria" w:hAnsi="Cambria"/>
                <w:b w:val="0"/>
                <w:color w:val="auto"/>
                <w:sz w:val="22"/>
                <w:szCs w:val="22"/>
              </w:rPr>
              <w:t>s</w:t>
            </w:r>
            <w:r w:rsidRPr="0063522F">
              <w:rPr>
                <w:rFonts w:ascii="Cambria" w:hAnsi="Cambria"/>
                <w:b w:val="0"/>
                <w:color w:val="auto"/>
                <w:sz w:val="22"/>
                <w:szCs w:val="22"/>
              </w:rPr>
              <w:t>&gt; or empty if general</w:t>
            </w:r>
          </w:p>
        </w:tc>
        <w:tc>
          <w:tcPr>
            <w:tcW w:w="7433" w:type="dxa"/>
          </w:tcPr>
          <w:p w:rsidR="00EF0313" w:rsidRPr="00EF0313" w:rsidRDefault="00EF0313" w:rsidP="00EF0313">
            <w:pPr>
              <w:pStyle w:val="Heading1"/>
              <w:spacing w:before="0"/>
              <w:outlineLvl w:val="0"/>
              <w:rPr>
                <w:rFonts w:ascii="Cambria" w:hAnsi="Cambria"/>
                <w:b w:val="0"/>
                <w:color w:val="auto"/>
                <w:sz w:val="22"/>
                <w:szCs w:val="22"/>
              </w:rPr>
            </w:pPr>
            <w:r w:rsidRPr="0080226C">
              <w:rPr>
                <w:rFonts w:ascii="Cambria" w:hAnsi="Cambria"/>
                <w:b w:val="0"/>
                <w:color w:val="auto"/>
                <w:sz w:val="22"/>
                <w:szCs w:val="22"/>
              </w:rPr>
              <w:t>&lt;</w:t>
            </w:r>
            <w:proofErr w:type="gramStart"/>
            <w:r w:rsidRPr="0080226C">
              <w:rPr>
                <w:rFonts w:ascii="Cambria" w:hAnsi="Cambria"/>
                <w:b w:val="0"/>
                <w:color w:val="auto"/>
                <w:sz w:val="22"/>
                <w:szCs w:val="22"/>
              </w:rPr>
              <w:t>country</w:t>
            </w:r>
            <w:proofErr w:type="gramEnd"/>
            <w:r w:rsidRPr="0080226C">
              <w:rPr>
                <w:rFonts w:ascii="Cambria" w:hAnsi="Cambria"/>
                <w:b w:val="0"/>
                <w:color w:val="auto"/>
                <w:sz w:val="22"/>
                <w:szCs w:val="22"/>
              </w:rPr>
              <w:t>&gt;</w:t>
            </w:r>
          </w:p>
        </w:tc>
      </w:tr>
      <w:tr w:rsidR="00EF0313" w:rsidRPr="0063522F" w:rsidTr="00FA2163">
        <w:tc>
          <w:tcPr>
            <w:tcW w:w="1809" w:type="dxa"/>
            <w:vMerge/>
          </w:tcPr>
          <w:p w:rsidR="00EF0313" w:rsidRPr="0063522F" w:rsidRDefault="00EF0313" w:rsidP="00FA2163">
            <w:pPr>
              <w:pStyle w:val="Heading1"/>
              <w:spacing w:before="0"/>
              <w:outlineLvl w:val="0"/>
              <w:rPr>
                <w:rFonts w:ascii="Cambria" w:hAnsi="Cambria"/>
                <w:b w:val="0"/>
                <w:color w:val="auto"/>
                <w:sz w:val="22"/>
                <w:szCs w:val="22"/>
              </w:rPr>
            </w:pPr>
          </w:p>
        </w:tc>
        <w:tc>
          <w:tcPr>
            <w:tcW w:w="7433" w:type="dxa"/>
          </w:tcPr>
          <w:p w:rsidR="00EF0313" w:rsidRPr="0063522F" w:rsidRDefault="00EF0313" w:rsidP="00FA2163">
            <w:pPr>
              <w:rPr>
                <w:rFonts w:ascii="Cambria" w:hAnsi="Cambria"/>
              </w:rPr>
            </w:pPr>
            <w:proofErr w:type="spellStart"/>
            <w:r w:rsidRPr="0063522F">
              <w:rPr>
                <w:rFonts w:ascii="Cambria" w:hAnsi="Cambria"/>
              </w:rPr>
              <w:t>Xxxx</w:t>
            </w:r>
            <w:proofErr w:type="spellEnd"/>
          </w:p>
        </w:tc>
      </w:tr>
      <w:tr w:rsidR="00EF0313" w:rsidRPr="0063522F" w:rsidTr="00CE1632">
        <w:tc>
          <w:tcPr>
            <w:tcW w:w="1809" w:type="dxa"/>
            <w:vMerge w:val="restart"/>
          </w:tcPr>
          <w:p w:rsidR="00EF0313" w:rsidRPr="0063522F" w:rsidRDefault="00EF0313" w:rsidP="00CE1632">
            <w:pPr>
              <w:pStyle w:val="Heading1"/>
              <w:spacing w:before="0"/>
              <w:outlineLvl w:val="0"/>
              <w:rPr>
                <w:rFonts w:ascii="Cambria" w:hAnsi="Cambria"/>
                <w:b w:val="0"/>
                <w:color w:val="auto"/>
                <w:sz w:val="22"/>
                <w:szCs w:val="22"/>
              </w:rPr>
            </w:pPr>
            <w:r w:rsidRPr="0063522F">
              <w:rPr>
                <w:rFonts w:ascii="Cambria" w:hAnsi="Cambria"/>
                <w:b w:val="0"/>
                <w:color w:val="auto"/>
                <w:sz w:val="22"/>
                <w:szCs w:val="22"/>
              </w:rPr>
              <w:t>&lt;clause-number</w:t>
            </w:r>
            <w:r>
              <w:rPr>
                <w:rFonts w:ascii="Cambria" w:hAnsi="Cambria"/>
                <w:b w:val="0"/>
                <w:color w:val="auto"/>
                <w:sz w:val="22"/>
                <w:szCs w:val="22"/>
              </w:rPr>
              <w:t>s</w:t>
            </w:r>
            <w:r w:rsidRPr="0063522F">
              <w:rPr>
                <w:rFonts w:ascii="Cambria" w:hAnsi="Cambria"/>
                <w:b w:val="0"/>
                <w:color w:val="auto"/>
                <w:sz w:val="22"/>
                <w:szCs w:val="22"/>
              </w:rPr>
              <w:t>&gt; or empty if general</w:t>
            </w:r>
          </w:p>
        </w:tc>
        <w:tc>
          <w:tcPr>
            <w:tcW w:w="7433" w:type="dxa"/>
          </w:tcPr>
          <w:p w:rsidR="00EF0313" w:rsidRPr="00EF0313" w:rsidRDefault="00EF0313" w:rsidP="00CE1632">
            <w:pPr>
              <w:pStyle w:val="Heading1"/>
              <w:spacing w:before="0"/>
              <w:outlineLvl w:val="0"/>
              <w:rPr>
                <w:rFonts w:ascii="Cambria" w:hAnsi="Cambria"/>
                <w:b w:val="0"/>
                <w:color w:val="auto"/>
                <w:sz w:val="22"/>
                <w:szCs w:val="22"/>
              </w:rPr>
            </w:pPr>
            <w:r w:rsidRPr="0080226C">
              <w:rPr>
                <w:rFonts w:ascii="Cambria" w:hAnsi="Cambria"/>
                <w:b w:val="0"/>
                <w:color w:val="auto"/>
                <w:sz w:val="22"/>
                <w:szCs w:val="22"/>
              </w:rPr>
              <w:t>&lt;</w:t>
            </w:r>
            <w:proofErr w:type="gramStart"/>
            <w:r w:rsidRPr="0080226C">
              <w:rPr>
                <w:rFonts w:ascii="Cambria" w:hAnsi="Cambria"/>
                <w:b w:val="0"/>
                <w:color w:val="auto"/>
                <w:sz w:val="22"/>
                <w:szCs w:val="22"/>
              </w:rPr>
              <w:t>country</w:t>
            </w:r>
            <w:proofErr w:type="gramEnd"/>
            <w:r w:rsidRPr="0080226C">
              <w:rPr>
                <w:rFonts w:ascii="Cambria" w:hAnsi="Cambria"/>
                <w:b w:val="0"/>
                <w:color w:val="auto"/>
                <w:sz w:val="22"/>
                <w:szCs w:val="22"/>
              </w:rPr>
              <w:t>&gt;</w:t>
            </w:r>
          </w:p>
        </w:tc>
      </w:tr>
      <w:tr w:rsidR="00EF0313" w:rsidRPr="0063522F" w:rsidTr="00CE1632">
        <w:tc>
          <w:tcPr>
            <w:tcW w:w="1809" w:type="dxa"/>
            <w:vMerge/>
          </w:tcPr>
          <w:p w:rsidR="00EF0313" w:rsidRPr="0063522F" w:rsidRDefault="00EF0313" w:rsidP="00CE1632">
            <w:pPr>
              <w:pStyle w:val="Heading1"/>
              <w:spacing w:before="0"/>
              <w:outlineLvl w:val="0"/>
              <w:rPr>
                <w:rFonts w:ascii="Cambria" w:hAnsi="Cambria"/>
                <w:b w:val="0"/>
                <w:color w:val="auto"/>
                <w:sz w:val="22"/>
                <w:szCs w:val="22"/>
              </w:rPr>
            </w:pPr>
          </w:p>
        </w:tc>
        <w:tc>
          <w:tcPr>
            <w:tcW w:w="7433" w:type="dxa"/>
          </w:tcPr>
          <w:p w:rsidR="00EF0313" w:rsidRPr="0063522F" w:rsidRDefault="00EF0313" w:rsidP="00CE1632">
            <w:pPr>
              <w:rPr>
                <w:rFonts w:ascii="Cambria" w:hAnsi="Cambria"/>
              </w:rPr>
            </w:pPr>
            <w:proofErr w:type="spellStart"/>
            <w:r w:rsidRPr="0063522F">
              <w:rPr>
                <w:rFonts w:ascii="Cambria" w:hAnsi="Cambria"/>
              </w:rPr>
              <w:t>Xxxx</w:t>
            </w:r>
            <w:proofErr w:type="spellEnd"/>
          </w:p>
        </w:tc>
      </w:tr>
    </w:tbl>
    <w:p w:rsidR="00E639A7" w:rsidRDefault="00E639A7" w:rsidP="00E639A7">
      <w:pPr>
        <w:pStyle w:val="ListParagraph"/>
        <w:ind w:left="360"/>
        <w:rPr>
          <w:rFonts w:ascii="Cambria" w:hAnsi="Cambria"/>
        </w:rPr>
      </w:pPr>
    </w:p>
    <w:p w:rsidR="005F277C" w:rsidRDefault="00E639A7" w:rsidP="006B1302">
      <w:pPr>
        <w:rPr>
          <w:rFonts w:ascii="Cambria" w:hAnsi="Cambria"/>
        </w:rPr>
      </w:pPr>
      <w:r>
        <w:rPr>
          <w:rFonts w:ascii="Cambria" w:hAnsi="Cambria"/>
        </w:rPr>
        <w:t>The follow table shows</w:t>
      </w:r>
      <w:r w:rsidR="004872A8" w:rsidRPr="00E639A7">
        <w:rPr>
          <w:rFonts w:ascii="Cambria" w:hAnsi="Cambria"/>
        </w:rPr>
        <w:t xml:space="preserve"> </w:t>
      </w:r>
      <w:r>
        <w:rPr>
          <w:rFonts w:ascii="Cambria" w:hAnsi="Cambria"/>
        </w:rPr>
        <w:t xml:space="preserve">an </w:t>
      </w:r>
      <w:r w:rsidR="004872A8" w:rsidRPr="00E639A7">
        <w:rPr>
          <w:rFonts w:ascii="Cambria" w:hAnsi="Cambria"/>
        </w:rPr>
        <w:t>example</w:t>
      </w:r>
      <w:r>
        <w:rPr>
          <w:rFonts w:ascii="Cambria" w:hAnsi="Cambria"/>
        </w:rPr>
        <w:t xml:space="preserve"> (example 1)</w:t>
      </w:r>
      <w:r w:rsidR="004872A8" w:rsidRPr="00E639A7">
        <w:rPr>
          <w:rFonts w:ascii="Cambria" w:hAnsi="Cambr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7827"/>
      </w:tblGrid>
      <w:tr w:rsidR="00827671" w:rsidRPr="00277219" w:rsidTr="00841BCA">
        <w:tc>
          <w:tcPr>
            <w:tcW w:w="1415" w:type="dxa"/>
          </w:tcPr>
          <w:p w:rsidR="00827671" w:rsidRPr="004872A8" w:rsidRDefault="00827671" w:rsidP="00841BCA">
            <w:pPr>
              <w:pStyle w:val="Tableheader"/>
              <w:spacing w:after="200" w:line="276" w:lineRule="auto"/>
              <w:jc w:val="both"/>
              <w:rPr>
                <w:rFonts w:cs="Arial"/>
                <w:b/>
              </w:rPr>
            </w:pPr>
            <w:r w:rsidRPr="004872A8">
              <w:rPr>
                <w:b/>
                <w:u w:val="single"/>
              </w:rPr>
              <w:t>Clause</w:t>
            </w:r>
          </w:p>
        </w:tc>
        <w:tc>
          <w:tcPr>
            <w:tcW w:w="7827" w:type="dxa"/>
          </w:tcPr>
          <w:p w:rsidR="00827671" w:rsidRPr="004872A8" w:rsidRDefault="00827671" w:rsidP="00841BCA">
            <w:pPr>
              <w:pStyle w:val="Tableheader"/>
              <w:spacing w:after="200" w:line="276" w:lineRule="auto"/>
              <w:jc w:val="both"/>
              <w:rPr>
                <w:rFonts w:cs="Arial"/>
                <w:b/>
              </w:rPr>
            </w:pPr>
            <w:r w:rsidRPr="004872A8">
              <w:rPr>
                <w:b/>
                <w:u w:val="single"/>
              </w:rPr>
              <w:t>Deviation</w:t>
            </w:r>
          </w:p>
        </w:tc>
      </w:tr>
      <w:tr w:rsidR="00801FF9" w:rsidRPr="00AD671E" w:rsidTr="00841BCA">
        <w:tc>
          <w:tcPr>
            <w:tcW w:w="1415" w:type="dxa"/>
            <w:vMerge w:val="restart"/>
          </w:tcPr>
          <w:p w:rsidR="00801FF9" w:rsidRPr="00AD671E" w:rsidRDefault="00801FF9" w:rsidP="00841BCA">
            <w:pPr>
              <w:pStyle w:val="Tablebody"/>
              <w:spacing w:after="200" w:line="276" w:lineRule="auto"/>
              <w:jc w:val="both"/>
            </w:pPr>
            <w:r w:rsidRPr="00AD671E">
              <w:t>General</w:t>
            </w:r>
          </w:p>
        </w:tc>
        <w:tc>
          <w:tcPr>
            <w:tcW w:w="7827" w:type="dxa"/>
          </w:tcPr>
          <w:p w:rsidR="00801FF9" w:rsidRPr="00AD671E" w:rsidRDefault="00801FF9" w:rsidP="0010795B">
            <w:pPr>
              <w:pStyle w:val="Tablebody"/>
              <w:spacing w:after="0" w:line="276" w:lineRule="auto"/>
              <w:jc w:val="both"/>
              <w:rPr>
                <w:szCs w:val="16"/>
              </w:rPr>
            </w:pPr>
            <w:r>
              <w:t>France</w:t>
            </w:r>
          </w:p>
        </w:tc>
      </w:tr>
      <w:tr w:rsidR="00801FF9" w:rsidRPr="00F70EEF" w:rsidTr="00841BCA">
        <w:tc>
          <w:tcPr>
            <w:tcW w:w="1415" w:type="dxa"/>
            <w:vMerge/>
          </w:tcPr>
          <w:p w:rsidR="00801FF9" w:rsidRPr="00AD671E" w:rsidRDefault="00801FF9" w:rsidP="00841BCA">
            <w:pPr>
              <w:pStyle w:val="Tablebody"/>
              <w:spacing w:after="200" w:line="276" w:lineRule="auto"/>
              <w:jc w:val="both"/>
            </w:pPr>
          </w:p>
        </w:tc>
        <w:tc>
          <w:tcPr>
            <w:tcW w:w="7827" w:type="dxa"/>
          </w:tcPr>
          <w:p w:rsidR="00801FF9" w:rsidRPr="00AD671E" w:rsidRDefault="00801FF9" w:rsidP="00841BCA">
            <w:pPr>
              <w:pStyle w:val="Tablebody"/>
              <w:jc w:val="both"/>
            </w:pPr>
            <w:r w:rsidRPr="00AD671E">
              <w:t xml:space="preserve">Initial and periodic verifications are requested and defined by law: </w:t>
            </w:r>
          </w:p>
          <w:p w:rsidR="00801FF9" w:rsidRPr="00AD671E" w:rsidRDefault="00801FF9" w:rsidP="0010795B">
            <w:pPr>
              <w:pStyle w:val="Tablebody"/>
              <w:spacing w:after="0" w:line="276" w:lineRule="auto"/>
              <w:jc w:val="both"/>
              <w:rPr>
                <w:szCs w:val="16"/>
                <w:lang w:val="fr-FR"/>
              </w:rPr>
            </w:pPr>
            <w:r w:rsidRPr="00AD671E">
              <w:rPr>
                <w:lang w:val="fr-FR"/>
              </w:rPr>
              <w:t>"décret n°2010-1016 du 30 août 2010" and "arrêté du 26 décembre 2011"</w:t>
            </w:r>
          </w:p>
        </w:tc>
      </w:tr>
      <w:tr w:rsidR="00801FF9" w:rsidRPr="00AD671E" w:rsidTr="00841BCA">
        <w:tc>
          <w:tcPr>
            <w:tcW w:w="1415" w:type="dxa"/>
            <w:vMerge w:val="restart"/>
          </w:tcPr>
          <w:p w:rsidR="00801FF9" w:rsidRPr="00AD671E" w:rsidRDefault="00801FF9" w:rsidP="00841BCA">
            <w:pPr>
              <w:pStyle w:val="Tablebody"/>
              <w:spacing w:after="200" w:line="276" w:lineRule="auto"/>
              <w:jc w:val="both"/>
            </w:pPr>
            <w:r w:rsidRPr="00AD671E">
              <w:t>6.4.4.5</w:t>
            </w:r>
          </w:p>
        </w:tc>
        <w:tc>
          <w:tcPr>
            <w:tcW w:w="7827" w:type="dxa"/>
          </w:tcPr>
          <w:p w:rsidR="00801FF9" w:rsidRPr="00AD671E" w:rsidRDefault="00801FF9" w:rsidP="0010795B">
            <w:pPr>
              <w:pStyle w:val="Tablebody"/>
              <w:spacing w:after="0" w:line="276" w:lineRule="auto"/>
              <w:jc w:val="both"/>
            </w:pPr>
            <w:r w:rsidRPr="00AD671E">
              <w:t>Austria</w:t>
            </w:r>
          </w:p>
        </w:tc>
      </w:tr>
      <w:tr w:rsidR="00801FF9" w:rsidRPr="00AD671E" w:rsidTr="00841BCA">
        <w:tc>
          <w:tcPr>
            <w:tcW w:w="1415" w:type="dxa"/>
            <w:vMerge/>
          </w:tcPr>
          <w:p w:rsidR="00801FF9" w:rsidRPr="00AD671E" w:rsidRDefault="00801FF9" w:rsidP="00841BCA">
            <w:pPr>
              <w:pStyle w:val="Tablebody"/>
              <w:spacing w:after="200" w:line="276" w:lineRule="auto"/>
              <w:jc w:val="both"/>
            </w:pPr>
          </w:p>
        </w:tc>
        <w:tc>
          <w:tcPr>
            <w:tcW w:w="7827" w:type="dxa"/>
          </w:tcPr>
          <w:p w:rsidR="00801FF9" w:rsidRDefault="00801FF9" w:rsidP="00841BCA">
            <w:pPr>
              <w:pStyle w:val="Tablebody"/>
              <w:jc w:val="both"/>
            </w:pPr>
            <w:proofErr w:type="spellStart"/>
            <w:r w:rsidRPr="00AD671E">
              <w:t>Electrotechnical</w:t>
            </w:r>
            <w:proofErr w:type="spellEnd"/>
            <w:r w:rsidRPr="00AD671E">
              <w:t xml:space="preserve"> Ordinance 2002 – Federal gazette Part II No. 222/2002 amended by </w:t>
            </w:r>
            <w:proofErr w:type="spellStart"/>
            <w:r w:rsidRPr="00AD671E">
              <w:t>Electrotechnical</w:t>
            </w:r>
            <w:proofErr w:type="spellEnd"/>
            <w:r w:rsidRPr="00AD671E">
              <w:t xml:space="preserve"> Ordinance 2002/A1 – Federal gazette Part II No. 33/2006 amended by </w:t>
            </w:r>
            <w:proofErr w:type="spellStart"/>
            <w:r w:rsidRPr="00AD671E">
              <w:t>Electrotechnical</w:t>
            </w:r>
            <w:proofErr w:type="spellEnd"/>
            <w:r w:rsidRPr="00AD671E">
              <w:t xml:space="preserve"> Ordinance 2002/A2 – Federal gazette Part II No. 223/2010:</w:t>
            </w:r>
          </w:p>
          <w:p w:rsidR="00801FF9" w:rsidRPr="00AD671E" w:rsidRDefault="00801FF9" w:rsidP="00841BCA">
            <w:pPr>
              <w:pStyle w:val="Tablebody"/>
              <w:spacing w:after="200" w:line="276" w:lineRule="auto"/>
              <w:jc w:val="both"/>
            </w:pPr>
            <w:r w:rsidRPr="00AD671E">
              <w:t>In Austria, Annexes E, F and G are replaced by amended national annexes with a required national minimum.</w:t>
            </w:r>
          </w:p>
        </w:tc>
      </w:tr>
      <w:tr w:rsidR="00827671" w:rsidRPr="00AD671E" w:rsidTr="0010795B">
        <w:trPr>
          <w:trHeight w:val="293"/>
        </w:trPr>
        <w:tc>
          <w:tcPr>
            <w:tcW w:w="1415" w:type="dxa"/>
            <w:vMerge w:val="restart"/>
          </w:tcPr>
          <w:p w:rsidR="0010795B" w:rsidRDefault="00827671" w:rsidP="00827671">
            <w:pPr>
              <w:pStyle w:val="Tablebody"/>
              <w:jc w:val="both"/>
            </w:pPr>
            <w:r w:rsidRPr="00AD671E">
              <w:t>6.4.4.5</w:t>
            </w:r>
            <w:r w:rsidR="0010795B">
              <w:t>;</w:t>
            </w:r>
          </w:p>
          <w:p w:rsidR="00827671" w:rsidRPr="00AD671E" w:rsidRDefault="00827671" w:rsidP="00827671">
            <w:pPr>
              <w:pStyle w:val="Tablebody"/>
              <w:jc w:val="both"/>
            </w:pPr>
            <w:r w:rsidRPr="00AD671E">
              <w:t>6.5.3.6</w:t>
            </w:r>
          </w:p>
        </w:tc>
        <w:tc>
          <w:tcPr>
            <w:tcW w:w="7827" w:type="dxa"/>
          </w:tcPr>
          <w:p w:rsidR="00827671" w:rsidRPr="00AD671E" w:rsidRDefault="00827671" w:rsidP="0010795B">
            <w:pPr>
              <w:pStyle w:val="Tablebody"/>
              <w:spacing w:after="0" w:line="276" w:lineRule="auto"/>
              <w:jc w:val="both"/>
            </w:pPr>
            <w:r w:rsidRPr="00AD671E">
              <w:t>Estonia</w:t>
            </w:r>
          </w:p>
        </w:tc>
      </w:tr>
      <w:tr w:rsidR="00827671" w:rsidRPr="00AD671E" w:rsidTr="00841BCA">
        <w:tc>
          <w:tcPr>
            <w:tcW w:w="1415" w:type="dxa"/>
            <w:vMerge/>
          </w:tcPr>
          <w:p w:rsidR="00827671" w:rsidRPr="00AD671E" w:rsidRDefault="00827671" w:rsidP="00841BCA">
            <w:pPr>
              <w:pStyle w:val="Tablebody"/>
              <w:spacing w:after="200" w:line="276" w:lineRule="auto"/>
              <w:jc w:val="both"/>
            </w:pPr>
          </w:p>
        </w:tc>
        <w:tc>
          <w:tcPr>
            <w:tcW w:w="7827" w:type="dxa"/>
          </w:tcPr>
          <w:p w:rsidR="00827671" w:rsidRDefault="00827671" w:rsidP="00841BCA">
            <w:pPr>
              <w:pStyle w:val="Tablebody"/>
              <w:jc w:val="both"/>
            </w:pPr>
            <w:r w:rsidRPr="00AD671E">
              <w:t xml:space="preserve">Regulation of the Estonian Minister of Economic Affairs and Communications, No 86, 03 July 2015, "Electrical installations with an auditing obligation and requirements for </w:t>
            </w:r>
            <w:r w:rsidRPr="00AD671E">
              <w:lastRenderedPageBreak/>
              <w:t>audit and the presentation of its results", Paragraph 8:</w:t>
            </w:r>
          </w:p>
          <w:p w:rsidR="00827671" w:rsidRPr="00AD671E" w:rsidRDefault="00827671" w:rsidP="00841BCA">
            <w:pPr>
              <w:pStyle w:val="Tablebody"/>
              <w:spacing w:after="200" w:line="276" w:lineRule="auto"/>
              <w:jc w:val="both"/>
            </w:pPr>
            <w:r w:rsidRPr="00AD671E">
              <w:t>In Estonia, required national minimum data concerning electrical installation and results of verification shall be entered to national electronic database.</w:t>
            </w:r>
          </w:p>
        </w:tc>
      </w:tr>
      <w:tr w:rsidR="00132506" w:rsidRPr="00AD671E" w:rsidTr="00841BCA">
        <w:tc>
          <w:tcPr>
            <w:tcW w:w="1415" w:type="dxa"/>
            <w:vMerge w:val="restart"/>
          </w:tcPr>
          <w:p w:rsidR="00132506" w:rsidRPr="00AD671E" w:rsidRDefault="00132506" w:rsidP="00841BCA">
            <w:pPr>
              <w:pStyle w:val="Tablebody"/>
              <w:jc w:val="both"/>
            </w:pPr>
            <w:r w:rsidRPr="00D91992">
              <w:rPr>
                <w:rFonts w:eastAsiaTheme="minorEastAsia" w:cstheme="minorBidi"/>
                <w:lang w:eastAsia="zh-CN"/>
              </w:rPr>
              <w:lastRenderedPageBreak/>
              <w:t>6.3.2.1; 7.3.3; 7.3.7.3</w:t>
            </w:r>
          </w:p>
        </w:tc>
        <w:tc>
          <w:tcPr>
            <w:tcW w:w="7827" w:type="dxa"/>
          </w:tcPr>
          <w:p w:rsidR="00132506" w:rsidRPr="00AD671E" w:rsidRDefault="00132506" w:rsidP="00841BCA">
            <w:pPr>
              <w:pStyle w:val="Tablebody"/>
              <w:jc w:val="both"/>
            </w:pPr>
            <w:r>
              <w:t>United Kingdom; Ireland</w:t>
            </w:r>
          </w:p>
        </w:tc>
      </w:tr>
      <w:tr w:rsidR="00132506" w:rsidRPr="00AD671E" w:rsidTr="00841BCA">
        <w:tc>
          <w:tcPr>
            <w:tcW w:w="1415" w:type="dxa"/>
            <w:vMerge/>
          </w:tcPr>
          <w:p w:rsidR="00132506" w:rsidRPr="00AD671E" w:rsidRDefault="00132506" w:rsidP="00841BCA">
            <w:pPr>
              <w:pStyle w:val="Tablebody"/>
              <w:jc w:val="both"/>
            </w:pPr>
          </w:p>
        </w:tc>
        <w:tc>
          <w:tcPr>
            <w:tcW w:w="7827" w:type="dxa"/>
          </w:tcPr>
          <w:p w:rsidR="00132506" w:rsidRDefault="00132506" w:rsidP="00132506">
            <w:pPr>
              <w:pStyle w:val="Tablebody"/>
              <w:jc w:val="both"/>
            </w:pPr>
            <w:r>
              <w:t>Regarding the descriptions provided in the following chapters, other solutions are permitted for trains captive to the networks in the United Kingdom and Ireland:</w:t>
            </w:r>
          </w:p>
          <w:p w:rsidR="00132506" w:rsidRDefault="00132506" w:rsidP="00132506">
            <w:pPr>
              <w:pStyle w:val="Tablebody"/>
              <w:jc w:val="both"/>
            </w:pPr>
            <w:r>
              <w:t>6.3.2.1 Identification by shape</w:t>
            </w:r>
          </w:p>
          <w:p w:rsidR="00132506" w:rsidRDefault="00132506" w:rsidP="00132506">
            <w:pPr>
              <w:pStyle w:val="Tablebody"/>
              <w:jc w:val="both"/>
            </w:pPr>
            <w:r>
              <w:t>7.3.3 Allocation to hands</w:t>
            </w:r>
          </w:p>
          <w:p w:rsidR="00132506" w:rsidRPr="00AD671E" w:rsidRDefault="00132506" w:rsidP="00132506">
            <w:pPr>
              <w:pStyle w:val="Tablebody"/>
              <w:jc w:val="both"/>
            </w:pPr>
            <w:r>
              <w:t>7.3.7.3 Driver's traction and brake control</w:t>
            </w:r>
          </w:p>
        </w:tc>
      </w:tr>
      <w:tr w:rsidR="00132506" w:rsidRPr="00AD671E" w:rsidTr="00841BCA">
        <w:tc>
          <w:tcPr>
            <w:tcW w:w="1415" w:type="dxa"/>
            <w:vMerge/>
          </w:tcPr>
          <w:p w:rsidR="00132506" w:rsidRPr="00AD671E" w:rsidRDefault="00132506" w:rsidP="00841BCA">
            <w:pPr>
              <w:pStyle w:val="Tablebody"/>
              <w:jc w:val="both"/>
            </w:pPr>
          </w:p>
        </w:tc>
        <w:tc>
          <w:tcPr>
            <w:tcW w:w="7827" w:type="dxa"/>
          </w:tcPr>
          <w:p w:rsidR="00132506" w:rsidRPr="002719B3" w:rsidRDefault="00132506" w:rsidP="00132506">
            <w:pPr>
              <w:pStyle w:val="Tablebody"/>
              <w:autoSpaceDE w:val="0"/>
              <w:autoSpaceDN w:val="0"/>
              <w:adjustRightInd w:val="0"/>
              <w:jc w:val="both"/>
              <w:rPr>
                <w:szCs w:val="24"/>
              </w:rPr>
            </w:pPr>
            <w:r w:rsidRPr="002719B3">
              <w:rPr>
                <w:szCs w:val="24"/>
              </w:rPr>
              <w:t>These deviating solutions are permitted only for the internal traffic within the United Kingdom and Ireland.</w:t>
            </w:r>
          </w:p>
          <w:p w:rsidR="00132506" w:rsidRPr="00AD671E" w:rsidRDefault="00132506" w:rsidP="00132506">
            <w:pPr>
              <w:pStyle w:val="Tablebody"/>
              <w:jc w:val="both"/>
            </w:pPr>
            <w:r w:rsidRPr="002719B3">
              <w:rPr>
                <w:szCs w:val="24"/>
              </w:rPr>
              <w:t>It is permitted to increase the brake demand by pushing the lever away from the driver and for the emergency brake position to be furthest from the driver.</w:t>
            </w:r>
          </w:p>
        </w:tc>
      </w:tr>
    </w:tbl>
    <w:p w:rsidR="005F277C" w:rsidRDefault="005F277C" w:rsidP="006B1302">
      <w:pPr>
        <w:rPr>
          <w:rFonts w:ascii="Cambria" w:hAnsi="Cambria"/>
        </w:rPr>
      </w:pPr>
    </w:p>
    <w:p w:rsidR="006B1302" w:rsidRDefault="00801FF9" w:rsidP="00755899">
      <w:pPr>
        <w:rPr>
          <w:rFonts w:ascii="Cambria" w:hAnsi="Cambria"/>
        </w:rPr>
      </w:pPr>
      <w:r>
        <w:rPr>
          <w:rFonts w:ascii="Cambria" w:hAnsi="Cambria"/>
        </w:rPr>
        <w:t xml:space="preserve">B. If there is no </w:t>
      </w:r>
      <w:r w:rsidR="00246EDA">
        <w:rPr>
          <w:rFonts w:ascii="Cambria" w:hAnsi="Cambria"/>
        </w:rPr>
        <w:t>detail</w:t>
      </w:r>
      <w:r w:rsidR="001317C6">
        <w:rPr>
          <w:rFonts w:ascii="Cambria" w:hAnsi="Cambria"/>
        </w:rPr>
        <w:t>ed</w:t>
      </w:r>
      <w:r w:rsidR="00246EDA">
        <w:rPr>
          <w:rFonts w:ascii="Cambria" w:hAnsi="Cambria"/>
        </w:rPr>
        <w:t xml:space="preserve"> </w:t>
      </w:r>
      <w:r>
        <w:rPr>
          <w:rFonts w:ascii="Cambria" w:hAnsi="Cambria"/>
        </w:rPr>
        <w:t>clauses</w:t>
      </w:r>
      <w:r w:rsidR="007A119F">
        <w:rPr>
          <w:rFonts w:ascii="Cambria" w:hAnsi="Cambria"/>
        </w:rPr>
        <w:t xml:space="preserve"> for all countries and the deviation text is complicated, normal paragraphs </w:t>
      </w:r>
      <w:r w:rsidR="00246EDA">
        <w:rPr>
          <w:rFonts w:ascii="Cambria" w:hAnsi="Cambria"/>
        </w:rPr>
        <w:t xml:space="preserve">with tables/figures </w:t>
      </w:r>
      <w:r w:rsidR="007A119F">
        <w:rPr>
          <w:rFonts w:ascii="Cambria" w:hAnsi="Cambria"/>
        </w:rPr>
        <w:t>can be used</w:t>
      </w:r>
      <w:r w:rsidR="00246EDA">
        <w:rPr>
          <w:rFonts w:ascii="Cambria" w:hAnsi="Cambria"/>
        </w:rPr>
        <w:t xml:space="preserve"> instead of a table in format </w:t>
      </w:r>
      <w:proofErr w:type="gramStart"/>
      <w:r w:rsidR="00246EDA">
        <w:rPr>
          <w:rFonts w:ascii="Cambria" w:hAnsi="Cambria"/>
        </w:rPr>
        <w:t xml:space="preserve">A </w:t>
      </w:r>
      <w:r w:rsidR="007A119F">
        <w:rPr>
          <w:rFonts w:ascii="Cambria" w:hAnsi="Cambria"/>
        </w:rPr>
        <w:t>.</w:t>
      </w:r>
      <w:proofErr w:type="gramEnd"/>
      <w:r w:rsidR="007A119F">
        <w:rPr>
          <w:rFonts w:ascii="Cambria" w:hAnsi="Cambria"/>
        </w:rPr>
        <w:t xml:space="preserve"> </w:t>
      </w:r>
      <w:r w:rsidR="00246EDA">
        <w:rPr>
          <w:rFonts w:ascii="Cambria" w:hAnsi="Cambria"/>
        </w:rPr>
        <w:t xml:space="preserve"> </w:t>
      </w:r>
      <w:r w:rsidR="007A119F">
        <w:rPr>
          <w:rFonts w:ascii="Cambria" w:hAnsi="Cambria"/>
        </w:rPr>
        <w:t>Paragraphs should be s</w:t>
      </w:r>
      <w:r w:rsidR="00246EDA">
        <w:rPr>
          <w:rFonts w:ascii="Cambria" w:hAnsi="Cambria"/>
        </w:rPr>
        <w:t xml:space="preserve">eparated clearly by the countries </w:t>
      </w:r>
      <w:r w:rsidR="007A119F">
        <w:rPr>
          <w:rFonts w:ascii="Cambria" w:hAnsi="Cambria"/>
        </w:rPr>
        <w:t xml:space="preserve">(or list of countries </w:t>
      </w:r>
      <w:r w:rsidR="000F2DB8">
        <w:rPr>
          <w:rFonts w:ascii="Cambria" w:hAnsi="Cambria"/>
        </w:rPr>
        <w:t>separated</w:t>
      </w:r>
      <w:r w:rsidR="007A119F">
        <w:rPr>
          <w:rFonts w:ascii="Cambria" w:hAnsi="Cambria"/>
        </w:rPr>
        <w:t xml:space="preserve"> by "; "</w:t>
      </w:r>
      <w:proofErr w:type="gramStart"/>
      <w:r w:rsidR="007A119F">
        <w:rPr>
          <w:rFonts w:ascii="Cambria" w:hAnsi="Cambria"/>
        </w:rPr>
        <w:t xml:space="preserve">) </w:t>
      </w:r>
      <w:r w:rsidR="00246EDA">
        <w:rPr>
          <w:rFonts w:ascii="Cambria" w:hAnsi="Cambria"/>
        </w:rPr>
        <w:t xml:space="preserve"> as</w:t>
      </w:r>
      <w:proofErr w:type="gramEnd"/>
      <w:r w:rsidR="00246EDA">
        <w:rPr>
          <w:rFonts w:ascii="Cambria" w:hAnsi="Cambria"/>
        </w:rPr>
        <w:t xml:space="preserve"> subsection headings</w:t>
      </w:r>
      <w:r w:rsidR="007A119F">
        <w:rPr>
          <w:rFonts w:ascii="Cambria" w:hAnsi="Cambria"/>
        </w:rPr>
        <w:t>. See example 2</w:t>
      </w:r>
      <w:r w:rsidR="00246EDA">
        <w:rPr>
          <w:rFonts w:ascii="Cambria" w:hAnsi="Cambria"/>
        </w:rPr>
        <w:t>.</w:t>
      </w:r>
    </w:p>
    <w:p w:rsidR="00246EDA" w:rsidRDefault="00246EDA" w:rsidP="00755899">
      <w:pPr>
        <w:rPr>
          <w:rFonts w:ascii="Cambria" w:hAnsi="Cambria"/>
        </w:rPr>
      </w:pPr>
      <w:r>
        <w:rPr>
          <w:rFonts w:ascii="Cambria" w:hAnsi="Cambria"/>
        </w:rPr>
        <w:t xml:space="preserve">Note: </w:t>
      </w:r>
    </w:p>
    <w:p w:rsidR="00246EDA" w:rsidRPr="00246EDA" w:rsidRDefault="00246EDA" w:rsidP="00246EDA">
      <w:pPr>
        <w:pStyle w:val="ListParagraph"/>
        <w:numPr>
          <w:ilvl w:val="0"/>
          <w:numId w:val="5"/>
        </w:numPr>
        <w:rPr>
          <w:rFonts w:ascii="Cambria" w:hAnsi="Cambria"/>
        </w:rPr>
      </w:pPr>
      <w:r>
        <w:rPr>
          <w:rFonts w:ascii="Cambria" w:hAnsi="Cambria"/>
        </w:rPr>
        <w:t>If Tables and/or Figures are to be</w:t>
      </w:r>
      <w:r w:rsidR="001317C6">
        <w:rPr>
          <w:rFonts w:ascii="Cambria" w:hAnsi="Cambria"/>
        </w:rPr>
        <w:t xml:space="preserve"> included in the justifications</w:t>
      </w:r>
      <w:r>
        <w:rPr>
          <w:rFonts w:ascii="Cambria" w:hAnsi="Cambria"/>
        </w:rPr>
        <w:t xml:space="preserve">, there must be a Table title and/or Figure title for each of them. </w:t>
      </w:r>
    </w:p>
    <w:p w:rsidR="00F7102A" w:rsidRDefault="00F7102A" w:rsidP="00755899">
      <w:pPr>
        <w:rPr>
          <w:rFonts w:ascii="Cambria" w:hAnsi="Cambria"/>
        </w:rPr>
      </w:pPr>
      <w:r>
        <w:rPr>
          <w:rFonts w:ascii="Cambria" w:hAnsi="Cambria"/>
        </w:rPr>
        <w:t>Example 2:</w:t>
      </w:r>
    </w:p>
    <w:p w:rsidR="00F7102A" w:rsidRPr="00F7102A" w:rsidRDefault="00246EDA" w:rsidP="00F7102A">
      <w:pPr>
        <w:pStyle w:val="ListContinue1"/>
        <w:rPr>
          <w:b/>
          <w:lang w:val="en-GB"/>
        </w:rPr>
      </w:pPr>
      <w:r>
        <w:rPr>
          <w:b/>
          <w:lang w:val="en-GB"/>
        </w:rPr>
        <w:t>A.1</w:t>
      </w:r>
      <w:r>
        <w:rPr>
          <w:b/>
          <w:lang w:val="en-GB"/>
        </w:rPr>
        <w:tab/>
      </w:r>
      <w:r w:rsidR="00F7102A" w:rsidRPr="00F7102A">
        <w:rPr>
          <w:b/>
          <w:lang w:val="en-GB"/>
        </w:rPr>
        <w:t>Italy</w:t>
      </w:r>
    </w:p>
    <w:p w:rsidR="00F7102A" w:rsidRPr="009739F7" w:rsidRDefault="00F7102A" w:rsidP="00F7102A">
      <w:pPr>
        <w:pStyle w:val="BodyTextindent1"/>
        <w:ind w:left="0"/>
      </w:pPr>
      <w:r w:rsidRPr="009739F7">
        <w:t xml:space="preserve">According to the Italian legislation relating to safety and health in working places — Law Decree n. 81 dated 9 April 2008, art. 113. — ladders described in the revision of </w:t>
      </w:r>
      <w:r w:rsidRPr="009739F7">
        <w:rPr>
          <w:rStyle w:val="stdpublisher"/>
          <w:szCs w:val="24"/>
        </w:rPr>
        <w:t>EN</w:t>
      </w:r>
      <w:r w:rsidRPr="009739F7">
        <w:t> </w:t>
      </w:r>
      <w:r w:rsidRPr="009739F7">
        <w:rPr>
          <w:rStyle w:val="stddocNumber"/>
          <w:rFonts w:eastAsia="MS Mincho"/>
          <w:szCs w:val="24"/>
        </w:rPr>
        <w:t>131</w:t>
      </w:r>
      <w:r w:rsidRPr="009739F7">
        <w:noBreakHyphen/>
      </w:r>
      <w:r w:rsidRPr="009739F7">
        <w:rPr>
          <w:rStyle w:val="stddocPartNumber"/>
          <w:rFonts w:eastAsia="MS Mincho"/>
          <w:szCs w:val="24"/>
        </w:rPr>
        <w:t>2</w:t>
      </w:r>
      <w:r w:rsidRPr="009739F7">
        <w:t xml:space="preserve"> are allowed in Italy only if complying with the following requirements:</w:t>
      </w:r>
    </w:p>
    <w:p w:rsidR="00F7102A" w:rsidRPr="00F7102A" w:rsidRDefault="00F7102A" w:rsidP="00F7102A">
      <w:pPr>
        <w:pStyle w:val="ListNumber2"/>
        <w:ind w:left="403"/>
        <w:rPr>
          <w:lang w:val="en-GB"/>
        </w:rPr>
      </w:pPr>
      <w:r w:rsidRPr="00F7102A">
        <w:rPr>
          <w:lang w:val="en-GB"/>
        </w:rPr>
        <w:t>1)</w:t>
      </w:r>
      <w:r w:rsidRPr="00F7102A">
        <w:rPr>
          <w:lang w:val="en-GB"/>
        </w:rPr>
        <w:tab/>
        <w:t>Ladders shall be also fitted with:</w:t>
      </w:r>
    </w:p>
    <w:p w:rsidR="00F7102A" w:rsidRPr="00F7102A" w:rsidRDefault="00F7102A" w:rsidP="00F7102A">
      <w:pPr>
        <w:pStyle w:val="ListNumber3"/>
        <w:ind w:left="806"/>
        <w:rPr>
          <w:lang w:val="en-GB"/>
        </w:rPr>
      </w:pPr>
      <w:r w:rsidRPr="00F7102A">
        <w:rPr>
          <w:lang w:val="en-GB"/>
        </w:rPr>
        <w:t>a)</w:t>
      </w:r>
      <w:r w:rsidRPr="00F7102A">
        <w:rPr>
          <w:lang w:val="en-GB"/>
        </w:rPr>
        <w:tab/>
        <w:t>anti-slippage devices at the bottom stiles ends;</w:t>
      </w:r>
    </w:p>
    <w:p w:rsidR="00F7102A" w:rsidRPr="00F7102A" w:rsidRDefault="00F7102A" w:rsidP="00F7102A">
      <w:pPr>
        <w:pStyle w:val="ListNumber3"/>
        <w:ind w:left="806"/>
        <w:rPr>
          <w:lang w:val="en-GB"/>
        </w:rPr>
      </w:pPr>
      <w:r w:rsidRPr="00F7102A">
        <w:rPr>
          <w:lang w:val="en-GB"/>
        </w:rPr>
        <w:t>b)</w:t>
      </w:r>
      <w:r w:rsidRPr="00F7102A">
        <w:rPr>
          <w:lang w:val="en-GB"/>
        </w:rPr>
        <w:tab/>
      </w:r>
      <w:proofErr w:type="gramStart"/>
      <w:r w:rsidRPr="00F7102A">
        <w:rPr>
          <w:lang w:val="en-GB"/>
        </w:rPr>
        <w:t>holding</w:t>
      </w:r>
      <w:proofErr w:type="gramEnd"/>
      <w:r w:rsidRPr="00F7102A">
        <w:rPr>
          <w:lang w:val="en-GB"/>
        </w:rPr>
        <w:t xml:space="preserve"> hooks or anti-slippage supports to the top ends, when necessary to assure the ladders stability; in accordance with DPR 547/55, clause 18.</w:t>
      </w:r>
    </w:p>
    <w:p w:rsidR="00F7102A" w:rsidRPr="00F7102A" w:rsidRDefault="00F7102A" w:rsidP="00F7102A">
      <w:pPr>
        <w:pStyle w:val="ListNumber2"/>
        <w:ind w:left="403"/>
        <w:rPr>
          <w:lang w:val="en-GB"/>
        </w:rPr>
      </w:pPr>
      <w:r w:rsidRPr="00F7102A">
        <w:rPr>
          <w:lang w:val="en-GB"/>
        </w:rPr>
        <w:t>2)</w:t>
      </w:r>
      <w:r w:rsidRPr="00F7102A">
        <w:rPr>
          <w:lang w:val="en-GB"/>
        </w:rPr>
        <w:tab/>
        <w:t>For use of sectional ladders assembling two or more elements fitted together (Italian type or similar), besides what is already stated in a) of clause 18, the following requirements have also to be met:</w:t>
      </w:r>
    </w:p>
    <w:p w:rsidR="00F7102A" w:rsidRPr="00F7102A" w:rsidRDefault="00F7102A" w:rsidP="00F7102A">
      <w:pPr>
        <w:pStyle w:val="ListNumber3"/>
        <w:ind w:left="806"/>
        <w:rPr>
          <w:lang w:val="en-GB"/>
        </w:rPr>
      </w:pPr>
      <w:r w:rsidRPr="00F7102A">
        <w:rPr>
          <w:lang w:val="en-GB"/>
        </w:rPr>
        <w:t>a)</w:t>
      </w:r>
      <w:r w:rsidRPr="00F7102A">
        <w:rPr>
          <w:lang w:val="en-GB"/>
        </w:rPr>
        <w:tab/>
        <w:t>the length of the ladder made ready for use shall not be more than 15 m, except in case of particular needs, in which case the top ends of stiles shall be secured to fixed parts;</w:t>
      </w:r>
    </w:p>
    <w:p w:rsidR="00F7102A" w:rsidRPr="001B2DA9" w:rsidRDefault="00F7102A" w:rsidP="00F7102A">
      <w:pPr>
        <w:pStyle w:val="ListNumber3"/>
        <w:ind w:left="806"/>
        <w:rPr>
          <w:lang w:val="en-GB"/>
        </w:rPr>
      </w:pPr>
      <w:r w:rsidRPr="001B2DA9">
        <w:rPr>
          <w:lang w:val="en-GB"/>
        </w:rPr>
        <w:t>b)</w:t>
      </w:r>
      <w:r w:rsidRPr="001B2DA9">
        <w:rPr>
          <w:lang w:val="en-GB"/>
        </w:rPr>
        <w:tab/>
      </w:r>
      <w:proofErr w:type="gramStart"/>
      <w:r w:rsidRPr="001B2DA9">
        <w:rPr>
          <w:lang w:val="en-GB"/>
        </w:rPr>
        <w:t>ladders</w:t>
      </w:r>
      <w:proofErr w:type="gramEnd"/>
      <w:r w:rsidRPr="001B2DA9">
        <w:rPr>
          <w:lang w:val="en-GB"/>
        </w:rPr>
        <w:t xml:space="preserve"> made ready for use longer than 8 m shall be fitted with a length breaker to reduce the deflection in accordance with DPR 547/55, clause 20.</w:t>
      </w:r>
    </w:p>
    <w:p w:rsidR="00F7102A" w:rsidRPr="00F7102A" w:rsidRDefault="00F7102A" w:rsidP="00F7102A">
      <w:pPr>
        <w:pStyle w:val="ListNumber2"/>
        <w:ind w:left="403"/>
        <w:rPr>
          <w:lang w:val="en-GB"/>
        </w:rPr>
      </w:pPr>
      <w:r w:rsidRPr="00F7102A">
        <w:rPr>
          <w:lang w:val="en-GB"/>
        </w:rPr>
        <w:t>3)</w:t>
      </w:r>
      <w:r w:rsidRPr="00F7102A">
        <w:rPr>
          <w:lang w:val="en-GB"/>
        </w:rPr>
        <w:tab/>
        <w:t>Standing ladders shall not be longer than 5 m in accordance to DPR 547/55, clause 20.</w:t>
      </w:r>
    </w:p>
    <w:p w:rsidR="00F7102A" w:rsidRPr="00F7102A" w:rsidRDefault="00F7102A" w:rsidP="00F7102A">
      <w:pPr>
        <w:pStyle w:val="ListNumber2"/>
        <w:ind w:left="403"/>
        <w:rPr>
          <w:lang w:val="en-GB"/>
        </w:rPr>
      </w:pPr>
      <w:r w:rsidRPr="00F7102A">
        <w:rPr>
          <w:lang w:val="en-GB"/>
        </w:rPr>
        <w:lastRenderedPageBreak/>
        <w:t>4)</w:t>
      </w:r>
      <w:r w:rsidRPr="00F7102A">
        <w:rPr>
          <w:lang w:val="en-GB"/>
        </w:rPr>
        <w:tab/>
        <w:t>Rungs (in case of wooden ladders) shall not present knots and shall be fixed end to the stiles, which have to be held by means of iron tie rods applied under the two end rungs; ladders longer than 4 m shall also present an intermediate tie rod in accordance with DPR 164/56, clause 8.</w:t>
      </w:r>
    </w:p>
    <w:p w:rsidR="00F7102A" w:rsidRPr="00F7102A" w:rsidRDefault="00246EDA" w:rsidP="00F7102A">
      <w:pPr>
        <w:pStyle w:val="ListContinue1"/>
        <w:rPr>
          <w:b/>
          <w:lang w:val="en-GB"/>
        </w:rPr>
      </w:pPr>
      <w:r>
        <w:rPr>
          <w:b/>
          <w:lang w:val="en-GB"/>
        </w:rPr>
        <w:t>A.2</w:t>
      </w:r>
      <w:r>
        <w:rPr>
          <w:b/>
          <w:lang w:val="en-GB"/>
        </w:rPr>
        <w:tab/>
      </w:r>
      <w:proofErr w:type="gramStart"/>
      <w:r w:rsidR="00F7102A" w:rsidRPr="00F7102A">
        <w:rPr>
          <w:b/>
          <w:lang w:val="en-GB"/>
        </w:rPr>
        <w:t>The</w:t>
      </w:r>
      <w:proofErr w:type="gramEnd"/>
      <w:r w:rsidR="00F7102A" w:rsidRPr="00F7102A">
        <w:rPr>
          <w:b/>
          <w:lang w:val="en-GB"/>
        </w:rPr>
        <w:t xml:space="preserve"> Netherlands</w:t>
      </w:r>
    </w:p>
    <w:p w:rsidR="00F7102A" w:rsidRPr="009739F7" w:rsidRDefault="00F7102A" w:rsidP="00F7102A">
      <w:pPr>
        <w:pStyle w:val="BodyTextindent1"/>
        <w:ind w:left="0"/>
      </w:pPr>
      <w:r w:rsidRPr="009739F7">
        <w:t>A-deviation in order to reflect the Dutch legal requirement regarding the following points:</w:t>
      </w:r>
    </w:p>
    <w:p w:rsidR="00F7102A" w:rsidRPr="00F7102A" w:rsidRDefault="00246EDA" w:rsidP="00F7102A">
      <w:pPr>
        <w:pStyle w:val="ListContinue2"/>
        <w:ind w:left="403"/>
        <w:rPr>
          <w:lang w:val="en-GB"/>
        </w:rPr>
      </w:pPr>
      <w:r>
        <w:rPr>
          <w:lang w:val="en-GB"/>
        </w:rPr>
        <w:t>—</w:t>
      </w:r>
      <w:r>
        <w:rPr>
          <w:lang w:val="en-GB"/>
        </w:rPr>
        <w:tab/>
      </w:r>
      <w:r w:rsidR="00F7102A" w:rsidRPr="00F7102A">
        <w:rPr>
          <w:lang w:val="en-GB"/>
        </w:rPr>
        <w:t>Strength test of leaning ladder (</w:t>
      </w:r>
      <w:r w:rsidR="00F7102A" w:rsidRPr="009739F7">
        <w:rPr>
          <w:szCs w:val="24"/>
          <w:lang w:val="en-GB"/>
        </w:rPr>
        <w:t>EN</w:t>
      </w:r>
      <w:r w:rsidR="00F7102A" w:rsidRPr="00F7102A">
        <w:rPr>
          <w:lang w:val="en-GB"/>
        </w:rPr>
        <w:t> </w:t>
      </w:r>
      <w:r w:rsidR="00F7102A" w:rsidRPr="009739F7">
        <w:rPr>
          <w:rFonts w:eastAsia="MS Mincho"/>
          <w:szCs w:val="24"/>
          <w:lang w:val="en-GB"/>
        </w:rPr>
        <w:t>131</w:t>
      </w:r>
      <w:r w:rsidR="00F7102A" w:rsidRPr="00F7102A">
        <w:rPr>
          <w:lang w:val="en-GB"/>
        </w:rPr>
        <w:t>-</w:t>
      </w:r>
      <w:r w:rsidR="00F7102A" w:rsidRPr="009739F7">
        <w:rPr>
          <w:rFonts w:eastAsia="MS Mincho"/>
          <w:szCs w:val="24"/>
          <w:lang w:val="en-GB"/>
        </w:rPr>
        <w:t>2</w:t>
      </w:r>
      <w:r w:rsidR="00F7102A" w:rsidRPr="00F7102A">
        <w:rPr>
          <w:lang w:val="en-GB"/>
        </w:rPr>
        <w:t>:</w:t>
      </w:r>
      <w:r w:rsidR="00F7102A" w:rsidRPr="009739F7">
        <w:rPr>
          <w:rFonts w:eastAsia="MS Mincho"/>
          <w:szCs w:val="24"/>
          <w:lang w:val="en-GB"/>
        </w:rPr>
        <w:t>2010</w:t>
      </w:r>
      <w:r w:rsidR="00F7102A" w:rsidRPr="00F7102A">
        <w:rPr>
          <w:lang w:val="en-GB"/>
        </w:rPr>
        <w:t xml:space="preserve">, </w:t>
      </w:r>
      <w:r w:rsidR="00F7102A" w:rsidRPr="009739F7">
        <w:rPr>
          <w:rFonts w:eastAsia="MS Mincho"/>
          <w:szCs w:val="24"/>
          <w:lang w:val="en-GB"/>
        </w:rPr>
        <w:t>5.2</w:t>
      </w:r>
      <w:r w:rsidR="00F7102A" w:rsidRPr="00F7102A">
        <w:rPr>
          <w:lang w:val="en-GB"/>
        </w:rPr>
        <w:t>)</w:t>
      </w:r>
    </w:p>
    <w:p w:rsidR="00F7102A" w:rsidRPr="009739F7" w:rsidRDefault="00246EDA" w:rsidP="00F7102A">
      <w:pPr>
        <w:pStyle w:val="ListContinue2"/>
        <w:ind w:left="403"/>
      </w:pPr>
      <w:r>
        <w:t>—</w:t>
      </w:r>
      <w:r>
        <w:tab/>
      </w:r>
      <w:r w:rsidR="00F7102A" w:rsidRPr="009739F7">
        <w:t xml:space="preserve">Test on </w:t>
      </w:r>
      <w:proofErr w:type="spellStart"/>
      <w:r w:rsidR="00F7102A" w:rsidRPr="009739F7">
        <w:t>handrails</w:t>
      </w:r>
      <w:proofErr w:type="spellEnd"/>
      <w:r w:rsidR="00F7102A" w:rsidRPr="009739F7">
        <w:t xml:space="preserve"> (scope </w:t>
      </w:r>
      <w:r w:rsidR="00F7102A" w:rsidRPr="009739F7">
        <w:rPr>
          <w:szCs w:val="24"/>
        </w:rPr>
        <w:t>EN</w:t>
      </w:r>
      <w:r w:rsidR="00F7102A" w:rsidRPr="009739F7">
        <w:t> </w:t>
      </w:r>
      <w:r w:rsidR="00F7102A" w:rsidRPr="009739F7">
        <w:rPr>
          <w:rFonts w:eastAsia="MS Mincho"/>
          <w:szCs w:val="24"/>
        </w:rPr>
        <w:t>131</w:t>
      </w:r>
      <w:r w:rsidR="00F7102A" w:rsidRPr="009739F7">
        <w:t>-</w:t>
      </w:r>
      <w:r w:rsidR="00F7102A" w:rsidRPr="009739F7">
        <w:rPr>
          <w:rFonts w:eastAsia="MS Mincho"/>
          <w:szCs w:val="24"/>
        </w:rPr>
        <w:t>1</w:t>
      </w:r>
      <w:r w:rsidR="00F7102A" w:rsidRPr="009739F7">
        <w:t xml:space="preserve">, scope </w:t>
      </w:r>
      <w:r w:rsidR="00F7102A" w:rsidRPr="009739F7">
        <w:rPr>
          <w:rFonts w:eastAsia="MS Mincho"/>
          <w:szCs w:val="24"/>
        </w:rPr>
        <w:t>EN</w:t>
      </w:r>
      <w:r w:rsidR="00F7102A" w:rsidRPr="009739F7">
        <w:t> </w:t>
      </w:r>
      <w:r w:rsidR="00F7102A" w:rsidRPr="009739F7">
        <w:rPr>
          <w:rFonts w:eastAsia="MS Mincho"/>
          <w:szCs w:val="24"/>
        </w:rPr>
        <w:t>131</w:t>
      </w:r>
      <w:r w:rsidR="00F7102A" w:rsidRPr="009739F7">
        <w:t>-</w:t>
      </w:r>
      <w:r w:rsidR="00F7102A" w:rsidRPr="009739F7">
        <w:rPr>
          <w:rFonts w:eastAsia="MS Mincho"/>
          <w:szCs w:val="24"/>
        </w:rPr>
        <w:t>2</w:t>
      </w:r>
      <w:r w:rsidR="00F7102A" w:rsidRPr="009739F7">
        <w:t xml:space="preserve"> and </w:t>
      </w:r>
      <w:r w:rsidR="00F7102A" w:rsidRPr="009739F7">
        <w:rPr>
          <w:rFonts w:eastAsia="MS Mincho"/>
          <w:szCs w:val="24"/>
        </w:rPr>
        <w:t>EN</w:t>
      </w:r>
      <w:r w:rsidR="00F7102A" w:rsidRPr="009739F7">
        <w:t> </w:t>
      </w:r>
      <w:r w:rsidR="00F7102A" w:rsidRPr="009739F7">
        <w:rPr>
          <w:rFonts w:eastAsia="MS Mincho"/>
          <w:szCs w:val="24"/>
        </w:rPr>
        <w:t>131</w:t>
      </w:r>
      <w:r w:rsidR="00F7102A" w:rsidRPr="009739F7">
        <w:t>-</w:t>
      </w:r>
      <w:r w:rsidR="00F7102A" w:rsidRPr="009739F7">
        <w:rPr>
          <w:rFonts w:eastAsia="MS Mincho"/>
          <w:szCs w:val="24"/>
        </w:rPr>
        <w:t>2</w:t>
      </w:r>
      <w:r w:rsidR="00F7102A" w:rsidRPr="009739F7">
        <w:t>:</w:t>
      </w:r>
      <w:r w:rsidR="00F7102A" w:rsidRPr="009739F7">
        <w:rPr>
          <w:rFonts w:eastAsia="MS Mincho"/>
          <w:szCs w:val="24"/>
        </w:rPr>
        <w:t>2010</w:t>
      </w:r>
      <w:r w:rsidR="00F7102A" w:rsidRPr="009739F7">
        <w:t xml:space="preserve">, </w:t>
      </w:r>
      <w:r w:rsidR="00F7102A" w:rsidRPr="009739F7">
        <w:rPr>
          <w:rFonts w:eastAsia="MS Mincho"/>
          <w:szCs w:val="24"/>
        </w:rPr>
        <w:t>5.12</w:t>
      </w:r>
      <w:r w:rsidR="00F7102A" w:rsidRPr="009739F7">
        <w:t>)</w:t>
      </w:r>
    </w:p>
    <w:p w:rsidR="00F7102A" w:rsidRPr="00F7102A" w:rsidRDefault="00246EDA" w:rsidP="00F7102A">
      <w:pPr>
        <w:pStyle w:val="ListContinue2"/>
        <w:ind w:left="403"/>
        <w:rPr>
          <w:lang w:val="en-GB"/>
        </w:rPr>
      </w:pPr>
      <w:r>
        <w:rPr>
          <w:lang w:val="en-GB"/>
        </w:rPr>
        <w:t>—</w:t>
      </w:r>
      <w:r>
        <w:rPr>
          <w:lang w:val="en-GB"/>
        </w:rPr>
        <w:tab/>
      </w:r>
      <w:r w:rsidR="00F7102A" w:rsidRPr="00F7102A">
        <w:rPr>
          <w:lang w:val="en-GB"/>
        </w:rPr>
        <w:t xml:space="preserve"> Torsion on ladder length (</w:t>
      </w:r>
      <w:r w:rsidR="00F7102A" w:rsidRPr="009739F7">
        <w:rPr>
          <w:szCs w:val="24"/>
          <w:lang w:val="en-GB"/>
        </w:rPr>
        <w:t>EN</w:t>
      </w:r>
      <w:r w:rsidR="00F7102A" w:rsidRPr="00F7102A">
        <w:rPr>
          <w:lang w:val="en-GB"/>
        </w:rPr>
        <w:t> </w:t>
      </w:r>
      <w:r w:rsidR="00F7102A" w:rsidRPr="009739F7">
        <w:rPr>
          <w:rFonts w:eastAsia="MS Mincho"/>
          <w:szCs w:val="24"/>
          <w:lang w:val="en-GB"/>
        </w:rPr>
        <w:t>131</w:t>
      </w:r>
      <w:r w:rsidR="00F7102A" w:rsidRPr="00F7102A">
        <w:rPr>
          <w:lang w:val="en-GB"/>
        </w:rPr>
        <w:t>-</w:t>
      </w:r>
      <w:r w:rsidR="00F7102A" w:rsidRPr="009739F7">
        <w:rPr>
          <w:rFonts w:eastAsia="MS Mincho"/>
          <w:szCs w:val="24"/>
          <w:lang w:val="en-GB"/>
        </w:rPr>
        <w:t>2</w:t>
      </w:r>
      <w:r w:rsidR="00F7102A" w:rsidRPr="00F7102A">
        <w:rPr>
          <w:lang w:val="en-GB"/>
        </w:rPr>
        <w:t>:</w:t>
      </w:r>
      <w:r w:rsidR="00F7102A" w:rsidRPr="009739F7">
        <w:rPr>
          <w:rFonts w:eastAsia="MS Mincho"/>
          <w:szCs w:val="24"/>
          <w:lang w:val="en-GB"/>
        </w:rPr>
        <w:t>2010</w:t>
      </w:r>
      <w:r w:rsidR="00F7102A" w:rsidRPr="00F7102A">
        <w:rPr>
          <w:lang w:val="en-GB"/>
        </w:rPr>
        <w:t xml:space="preserve">, </w:t>
      </w:r>
      <w:r w:rsidR="00F7102A" w:rsidRPr="009739F7">
        <w:rPr>
          <w:rFonts w:eastAsia="MS Mincho"/>
          <w:szCs w:val="24"/>
          <w:lang w:val="en-GB"/>
        </w:rPr>
        <w:t>5.15</w:t>
      </w:r>
      <w:r w:rsidR="00F7102A" w:rsidRPr="00F7102A">
        <w:rPr>
          <w:lang w:val="en-GB"/>
        </w:rPr>
        <w:t>)</w:t>
      </w:r>
    </w:p>
    <w:p w:rsidR="00F7102A" w:rsidRPr="009739F7" w:rsidRDefault="00F7102A" w:rsidP="00F7102A">
      <w:pPr>
        <w:pStyle w:val="BodyTextindent1"/>
        <w:ind w:left="0"/>
      </w:pPr>
      <w:r w:rsidRPr="009739F7">
        <w:t xml:space="preserve">In the Netherlands all ladders and step ladders for both the consumer market and the professional market have to fulfil the requirements of the </w:t>
      </w:r>
      <w:proofErr w:type="spellStart"/>
      <w:r w:rsidRPr="009739F7">
        <w:t>Besluit</w:t>
      </w:r>
      <w:proofErr w:type="spellEnd"/>
      <w:r w:rsidRPr="009739F7">
        <w:t xml:space="preserve"> </w:t>
      </w:r>
      <w:proofErr w:type="spellStart"/>
      <w:r w:rsidRPr="009739F7">
        <w:t>Draagbaar</w:t>
      </w:r>
      <w:proofErr w:type="spellEnd"/>
      <w:r w:rsidRPr="009739F7">
        <w:t xml:space="preserve"> </w:t>
      </w:r>
      <w:proofErr w:type="spellStart"/>
      <w:r w:rsidRPr="009739F7">
        <w:t>Klimmaterieel</w:t>
      </w:r>
      <w:proofErr w:type="spellEnd"/>
      <w:r w:rsidRPr="009739F7">
        <w:t xml:space="preserve"> (law on portable climbing equipment), which is part of the Dutch "</w:t>
      </w:r>
      <w:proofErr w:type="spellStart"/>
      <w:r w:rsidRPr="009739F7">
        <w:t>Warenwert</w:t>
      </w:r>
      <w:proofErr w:type="spellEnd"/>
      <w:r w:rsidRPr="009739F7">
        <w:t>" (law for goods).</w:t>
      </w:r>
    </w:p>
    <w:p w:rsidR="00F7102A" w:rsidRDefault="00F7102A" w:rsidP="00F7102A">
      <w:pPr>
        <w:pStyle w:val="BodyTextindent1"/>
        <w:ind w:left="0"/>
      </w:pPr>
      <w:r w:rsidRPr="009739F7">
        <w:t xml:space="preserve">On top of that products for the professional market have to </w:t>
      </w:r>
      <w:proofErr w:type="spellStart"/>
      <w:r w:rsidRPr="009739F7">
        <w:t>fulfill</w:t>
      </w:r>
      <w:proofErr w:type="spellEnd"/>
      <w:r w:rsidRPr="009739F7">
        <w:t xml:space="preserve"> the requirements of the </w:t>
      </w:r>
      <w:r w:rsidRPr="009739F7">
        <w:rPr>
          <w:szCs w:val="24"/>
        </w:rPr>
        <w:t>NEN</w:t>
      </w:r>
      <w:r w:rsidRPr="009739F7">
        <w:t> </w:t>
      </w:r>
      <w:r w:rsidRPr="009739F7">
        <w:rPr>
          <w:rFonts w:eastAsia="MS Mincho"/>
          <w:szCs w:val="24"/>
        </w:rPr>
        <w:t>2484</w:t>
      </w:r>
      <w:r w:rsidRPr="009739F7">
        <w:t xml:space="preserve"> as is mentioned in the "</w:t>
      </w:r>
      <w:proofErr w:type="spellStart"/>
      <w:r w:rsidRPr="009739F7">
        <w:t>Arbobeleidsregels</w:t>
      </w:r>
      <w:proofErr w:type="spellEnd"/>
      <w:r w:rsidRPr="009739F7">
        <w:t xml:space="preserve">", that are part of the Dutch </w:t>
      </w:r>
      <w:proofErr w:type="spellStart"/>
      <w:r w:rsidRPr="009739F7">
        <w:t>Arbowet</w:t>
      </w:r>
      <w:proofErr w:type="spellEnd"/>
      <w:r w:rsidRPr="009739F7">
        <w:t xml:space="preserve"> (law for labour conditions).</w:t>
      </w:r>
      <w:r w:rsidR="00D91992">
        <w:t xml:space="preserve"> </w:t>
      </w:r>
    </w:p>
    <w:p w:rsidR="00D91992" w:rsidRDefault="00D91992" w:rsidP="00F7102A">
      <w:pPr>
        <w:pStyle w:val="BodyTextindent1"/>
        <w:ind w:left="0"/>
      </w:pPr>
      <w:r>
        <w:t>…</w:t>
      </w:r>
    </w:p>
    <w:p w:rsidR="00F7102A" w:rsidRPr="00246EDA" w:rsidRDefault="00246EDA" w:rsidP="00246EDA">
      <w:pPr>
        <w:pStyle w:val="ListContinue1"/>
        <w:rPr>
          <w:b/>
          <w:lang w:val="en-GB"/>
        </w:rPr>
      </w:pPr>
      <w:r w:rsidRPr="00246EDA">
        <w:rPr>
          <w:b/>
          <w:lang w:val="en-GB"/>
        </w:rPr>
        <w:t>A.3 United Kingdom; Ireland</w:t>
      </w:r>
    </w:p>
    <w:p w:rsidR="00246EDA" w:rsidRDefault="00246EDA" w:rsidP="00F7102A">
      <w:pPr>
        <w:pStyle w:val="BodyTextindent1"/>
        <w:ind w:left="0"/>
      </w:pPr>
      <w:r>
        <w:t>…..</w:t>
      </w:r>
    </w:p>
    <w:p w:rsidR="00246EDA" w:rsidRPr="007B7E3F" w:rsidRDefault="00246EDA" w:rsidP="00F7102A">
      <w:pPr>
        <w:pStyle w:val="BodyTextindent1"/>
        <w:ind w:left="0"/>
        <w:rPr>
          <w:b/>
          <w:sz w:val="28"/>
        </w:rPr>
      </w:pPr>
      <w:r w:rsidRPr="007B7E3F">
        <w:rPr>
          <w:b/>
          <w:sz w:val="28"/>
        </w:rPr>
        <w:t xml:space="preserve">Exceptions </w:t>
      </w:r>
    </w:p>
    <w:p w:rsidR="007B7E3F" w:rsidRDefault="00246EDA" w:rsidP="00F7102A">
      <w:pPr>
        <w:pStyle w:val="BodyTextindent1"/>
        <w:ind w:left="0"/>
      </w:pPr>
      <w:r>
        <w:t xml:space="preserve">However, it could happen that for certain standards, a mixed situation happens. For some countries, simple deviation texts apply for concrete clauses; for other countries, complex texts apply for general cases.   </w:t>
      </w:r>
      <w:r w:rsidR="007B7E3F">
        <w:t>In such case, the deviation texts are organ</w:t>
      </w:r>
      <w:r w:rsidR="001317C6">
        <w:t>ised by countries, some countries</w:t>
      </w:r>
      <w:r w:rsidR="007B7E3F">
        <w:t xml:space="preserve"> may use table</w:t>
      </w:r>
      <w:r w:rsidR="001317C6">
        <w:t>s</w:t>
      </w:r>
      <w:r w:rsidR="007B7E3F">
        <w:t xml:space="preserve"> (in such case, no country is needed </w:t>
      </w:r>
      <w:r w:rsidR="001317C6">
        <w:t xml:space="preserve">to be </w:t>
      </w:r>
      <w:r w:rsidR="007B7E3F">
        <w:t xml:space="preserve">mentioned in </w:t>
      </w:r>
      <w:r w:rsidR="001317C6">
        <w:t xml:space="preserve">the </w:t>
      </w:r>
      <w:r w:rsidR="007B7E3F">
        <w:t xml:space="preserve">table as it is mentioned in the heading), the other use paragraph.  </w:t>
      </w:r>
    </w:p>
    <w:p w:rsidR="007B7E3F" w:rsidRPr="007B7E3F" w:rsidRDefault="007B7E3F" w:rsidP="00F7102A">
      <w:pPr>
        <w:pStyle w:val="BodyTextindent1"/>
        <w:ind w:left="0"/>
        <w:rPr>
          <w:b/>
        </w:rPr>
      </w:pPr>
      <w:r w:rsidRPr="007B7E3F">
        <w:rPr>
          <w:b/>
        </w:rPr>
        <w:t>A.1 country_1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7B7E3F" w:rsidRPr="0063522F" w:rsidTr="00FA2163">
        <w:tc>
          <w:tcPr>
            <w:tcW w:w="1809" w:type="dxa"/>
          </w:tcPr>
          <w:p w:rsidR="007B7E3F" w:rsidRPr="00340A6D" w:rsidRDefault="007B7E3F" w:rsidP="00FA2163">
            <w:pPr>
              <w:pStyle w:val="Heading1"/>
              <w:spacing w:before="0"/>
              <w:jc w:val="center"/>
              <w:outlineLvl w:val="0"/>
              <w:rPr>
                <w:rFonts w:ascii="Cambria" w:hAnsi="Cambria"/>
                <w:color w:val="auto"/>
                <w:sz w:val="22"/>
                <w:szCs w:val="22"/>
                <w:u w:val="single"/>
              </w:rPr>
            </w:pPr>
            <w:r w:rsidRPr="00340A6D">
              <w:rPr>
                <w:rFonts w:ascii="Cambria" w:hAnsi="Cambria"/>
                <w:color w:val="auto"/>
                <w:sz w:val="22"/>
                <w:szCs w:val="22"/>
                <w:u w:val="single"/>
              </w:rPr>
              <w:t>Clause</w:t>
            </w:r>
          </w:p>
          <w:p w:rsidR="007B7E3F" w:rsidRPr="0063522F" w:rsidRDefault="007B7E3F" w:rsidP="00FA2163">
            <w:pPr>
              <w:jc w:val="center"/>
              <w:rPr>
                <w:rFonts w:ascii="Cambria" w:hAnsi="Cambria"/>
                <w:b/>
              </w:rPr>
            </w:pPr>
          </w:p>
        </w:tc>
        <w:tc>
          <w:tcPr>
            <w:tcW w:w="7433" w:type="dxa"/>
          </w:tcPr>
          <w:p w:rsidR="007B7E3F" w:rsidRPr="00340A6D" w:rsidRDefault="007B7E3F" w:rsidP="00FA2163">
            <w:pPr>
              <w:pStyle w:val="Heading1"/>
              <w:spacing w:before="0"/>
              <w:jc w:val="center"/>
              <w:outlineLvl w:val="0"/>
              <w:rPr>
                <w:rFonts w:ascii="Cambria" w:hAnsi="Cambria"/>
                <w:color w:val="auto"/>
                <w:sz w:val="22"/>
                <w:szCs w:val="22"/>
                <w:u w:val="single"/>
              </w:rPr>
            </w:pPr>
            <w:r w:rsidRPr="00340A6D">
              <w:rPr>
                <w:rFonts w:ascii="Cambria" w:hAnsi="Cambria"/>
                <w:color w:val="auto"/>
                <w:sz w:val="22"/>
                <w:szCs w:val="22"/>
                <w:u w:val="single"/>
              </w:rPr>
              <w:t>Deviation</w:t>
            </w:r>
          </w:p>
        </w:tc>
      </w:tr>
      <w:tr w:rsidR="007B7E3F" w:rsidRPr="0063522F" w:rsidTr="00FA2163">
        <w:tc>
          <w:tcPr>
            <w:tcW w:w="1809" w:type="dxa"/>
          </w:tcPr>
          <w:p w:rsidR="007B7E3F" w:rsidRPr="0063522F" w:rsidRDefault="007B7E3F" w:rsidP="007B7E3F">
            <w:pPr>
              <w:pStyle w:val="Heading1"/>
              <w:spacing w:before="0"/>
              <w:outlineLvl w:val="0"/>
              <w:rPr>
                <w:rFonts w:ascii="Cambria" w:hAnsi="Cambria"/>
                <w:b w:val="0"/>
                <w:color w:val="auto"/>
                <w:sz w:val="22"/>
                <w:szCs w:val="22"/>
              </w:rPr>
            </w:pPr>
            <w:r w:rsidRPr="0063522F">
              <w:rPr>
                <w:rFonts w:ascii="Cambria" w:hAnsi="Cambria"/>
                <w:b w:val="0"/>
                <w:color w:val="auto"/>
                <w:sz w:val="22"/>
                <w:szCs w:val="22"/>
              </w:rPr>
              <w:t>&lt;</w:t>
            </w:r>
            <w:proofErr w:type="gramStart"/>
            <w:r w:rsidRPr="0063522F">
              <w:rPr>
                <w:rFonts w:ascii="Cambria" w:hAnsi="Cambria"/>
                <w:b w:val="0"/>
                <w:color w:val="auto"/>
                <w:sz w:val="22"/>
                <w:szCs w:val="22"/>
              </w:rPr>
              <w:t>clause-number</w:t>
            </w:r>
            <w:r>
              <w:rPr>
                <w:rFonts w:ascii="Cambria" w:hAnsi="Cambria"/>
                <w:b w:val="0"/>
                <w:color w:val="auto"/>
                <w:sz w:val="22"/>
                <w:szCs w:val="22"/>
              </w:rPr>
              <w:t>s</w:t>
            </w:r>
            <w:proofErr w:type="gramEnd"/>
            <w:r w:rsidRPr="0063522F">
              <w:rPr>
                <w:rFonts w:ascii="Cambria" w:hAnsi="Cambria"/>
                <w:b w:val="0"/>
                <w:color w:val="auto"/>
                <w:sz w:val="22"/>
                <w:szCs w:val="22"/>
              </w:rPr>
              <w:t xml:space="preserve">&gt; </w:t>
            </w:r>
          </w:p>
        </w:tc>
        <w:tc>
          <w:tcPr>
            <w:tcW w:w="7433" w:type="dxa"/>
          </w:tcPr>
          <w:p w:rsidR="007B7E3F" w:rsidRPr="0063522F" w:rsidRDefault="007B7E3F" w:rsidP="00FA2163">
            <w:pPr>
              <w:rPr>
                <w:rFonts w:ascii="Cambria" w:hAnsi="Cambria"/>
              </w:rPr>
            </w:pPr>
            <w:proofErr w:type="spellStart"/>
            <w:r w:rsidRPr="0063522F">
              <w:rPr>
                <w:rFonts w:ascii="Cambria" w:hAnsi="Cambria"/>
              </w:rPr>
              <w:t>Xxxx</w:t>
            </w:r>
            <w:proofErr w:type="spellEnd"/>
          </w:p>
        </w:tc>
      </w:tr>
      <w:tr w:rsidR="007B7E3F" w:rsidRPr="0063522F" w:rsidTr="00FA2163">
        <w:tc>
          <w:tcPr>
            <w:tcW w:w="1809" w:type="dxa"/>
          </w:tcPr>
          <w:p w:rsidR="007B7E3F" w:rsidRPr="0063522F" w:rsidRDefault="007B7E3F" w:rsidP="007B7E3F">
            <w:pPr>
              <w:pStyle w:val="Heading1"/>
              <w:spacing w:before="0"/>
              <w:outlineLvl w:val="0"/>
              <w:rPr>
                <w:rFonts w:ascii="Cambria" w:hAnsi="Cambria"/>
                <w:b w:val="0"/>
                <w:color w:val="auto"/>
                <w:sz w:val="22"/>
                <w:szCs w:val="22"/>
              </w:rPr>
            </w:pPr>
            <w:r w:rsidRPr="0063522F">
              <w:rPr>
                <w:rFonts w:ascii="Cambria" w:hAnsi="Cambria"/>
                <w:b w:val="0"/>
                <w:color w:val="auto"/>
                <w:sz w:val="22"/>
                <w:szCs w:val="22"/>
              </w:rPr>
              <w:t>&lt;</w:t>
            </w:r>
            <w:proofErr w:type="gramStart"/>
            <w:r w:rsidRPr="0063522F">
              <w:rPr>
                <w:rFonts w:ascii="Cambria" w:hAnsi="Cambria"/>
                <w:b w:val="0"/>
                <w:color w:val="auto"/>
                <w:sz w:val="22"/>
                <w:szCs w:val="22"/>
              </w:rPr>
              <w:t>clause-number</w:t>
            </w:r>
            <w:r>
              <w:rPr>
                <w:rFonts w:ascii="Cambria" w:hAnsi="Cambria"/>
                <w:b w:val="0"/>
                <w:color w:val="auto"/>
                <w:sz w:val="22"/>
                <w:szCs w:val="22"/>
              </w:rPr>
              <w:t>s</w:t>
            </w:r>
            <w:proofErr w:type="gramEnd"/>
            <w:r w:rsidRPr="0063522F">
              <w:rPr>
                <w:rFonts w:ascii="Cambria" w:hAnsi="Cambria"/>
                <w:b w:val="0"/>
                <w:color w:val="auto"/>
                <w:sz w:val="22"/>
                <w:szCs w:val="22"/>
              </w:rPr>
              <w:t xml:space="preserve">&gt; </w:t>
            </w:r>
          </w:p>
        </w:tc>
        <w:tc>
          <w:tcPr>
            <w:tcW w:w="7433" w:type="dxa"/>
          </w:tcPr>
          <w:p w:rsidR="007B7E3F" w:rsidRPr="0063522F" w:rsidRDefault="007B7E3F" w:rsidP="00FA2163">
            <w:pPr>
              <w:rPr>
                <w:rFonts w:ascii="Cambria" w:hAnsi="Cambria"/>
              </w:rPr>
            </w:pPr>
            <w:proofErr w:type="spellStart"/>
            <w:r>
              <w:rPr>
                <w:rFonts w:ascii="Cambria" w:hAnsi="Cambria"/>
              </w:rPr>
              <w:t>xxxx</w:t>
            </w:r>
            <w:proofErr w:type="spellEnd"/>
          </w:p>
        </w:tc>
      </w:tr>
    </w:tbl>
    <w:p w:rsidR="007B7E3F" w:rsidRDefault="007B7E3F" w:rsidP="00F7102A">
      <w:pPr>
        <w:pStyle w:val="BodyTextindent1"/>
        <w:ind w:left="0"/>
      </w:pPr>
    </w:p>
    <w:p w:rsidR="007B7E3F" w:rsidRDefault="007B7E3F" w:rsidP="007B7E3F">
      <w:pPr>
        <w:pStyle w:val="BodyTextindent1"/>
        <w:ind w:left="0"/>
        <w:rPr>
          <w:b/>
        </w:rPr>
      </w:pPr>
      <w:r w:rsidRPr="007B7E3F">
        <w:rPr>
          <w:b/>
        </w:rPr>
        <w:t>A.</w:t>
      </w:r>
      <w:r>
        <w:rPr>
          <w:b/>
        </w:rPr>
        <w:t>2</w:t>
      </w:r>
      <w:r w:rsidRPr="007B7E3F">
        <w:rPr>
          <w:b/>
        </w:rPr>
        <w:t xml:space="preserve"> country_</w:t>
      </w:r>
      <w:r>
        <w:rPr>
          <w:b/>
        </w:rPr>
        <w:t>2</w:t>
      </w:r>
    </w:p>
    <w:p w:rsidR="007B7E3F" w:rsidRDefault="007B7E3F" w:rsidP="00F7102A">
      <w:pPr>
        <w:pStyle w:val="BodyTextindent1"/>
        <w:ind w:left="0"/>
      </w:pPr>
      <w:r>
        <w:t>C</w:t>
      </w:r>
      <w:r w:rsidRPr="007B7E3F">
        <w:t>omplex paragraphs …</w:t>
      </w:r>
    </w:p>
    <w:p w:rsidR="007B7E3F" w:rsidRPr="009739F7" w:rsidRDefault="007B7E3F" w:rsidP="00F7102A">
      <w:pPr>
        <w:pStyle w:val="BodyTextindent1"/>
        <w:ind w:left="0"/>
      </w:pPr>
      <w:r>
        <w:rPr>
          <w:b/>
        </w:rPr>
        <w:t xml:space="preserve">Final </w:t>
      </w:r>
      <w:r w:rsidRPr="007B7E3F">
        <w:rPr>
          <w:b/>
        </w:rPr>
        <w:t>Note</w:t>
      </w:r>
      <w:r>
        <w:t>: It is forbidden for a single country using both template in one document</w:t>
      </w:r>
    </w:p>
    <w:p w:rsidR="007B7E3F" w:rsidRDefault="007B7E3F" w:rsidP="00755899">
      <w:pPr>
        <w:rPr>
          <w:rFonts w:ascii="Cambria" w:hAnsi="Cambria"/>
          <w:b/>
          <w:u w:val="single"/>
        </w:rPr>
      </w:pPr>
    </w:p>
    <w:sectPr w:rsidR="007B7E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EF" w:rsidRDefault="00F70EEF" w:rsidP="00F70EEF">
      <w:pPr>
        <w:spacing w:after="0" w:line="240" w:lineRule="auto"/>
      </w:pPr>
      <w:r>
        <w:separator/>
      </w:r>
    </w:p>
  </w:endnote>
  <w:endnote w:type="continuationSeparator" w:id="0">
    <w:p w:rsidR="00F70EEF" w:rsidRDefault="00F70EEF" w:rsidP="00F7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altName w:val="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EF" w:rsidRDefault="00F70EEF" w:rsidP="00F70EEF">
      <w:pPr>
        <w:spacing w:after="0" w:line="240" w:lineRule="auto"/>
      </w:pPr>
      <w:r>
        <w:separator/>
      </w:r>
    </w:p>
  </w:footnote>
  <w:footnote w:type="continuationSeparator" w:id="0">
    <w:p w:rsidR="00F70EEF" w:rsidRDefault="00F70EEF" w:rsidP="00F7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EEF" w:rsidRPr="00F70EEF" w:rsidRDefault="00F70EEF" w:rsidP="00F70EEF">
    <w:pPr>
      <w:pStyle w:val="Header"/>
      <w:jc w:val="right"/>
      <w:rPr>
        <w:sz w:val="20"/>
      </w:rPr>
    </w:pPr>
    <w:r>
      <w:rPr>
        <w:rFonts w:ascii="Arial" w:eastAsia="Times New Roman" w:hAnsi="Arial" w:cs="Arial"/>
        <w:b/>
        <w:sz w:val="20"/>
        <w:lang w:eastAsia="en-US"/>
      </w:rPr>
      <w:t xml:space="preserve"> Annex 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C1C"/>
    <w:multiLevelType w:val="hybridMultilevel"/>
    <w:tmpl w:val="C19AED3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3DC69FA"/>
    <w:multiLevelType w:val="hybridMultilevel"/>
    <w:tmpl w:val="EF72741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840DCD"/>
    <w:multiLevelType w:val="hybridMultilevel"/>
    <w:tmpl w:val="51849E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1EF6203"/>
    <w:multiLevelType w:val="hybridMultilevel"/>
    <w:tmpl w:val="36E0BE46"/>
    <w:lvl w:ilvl="0" w:tplc="74961C9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B76C9"/>
    <w:multiLevelType w:val="hybridMultilevel"/>
    <w:tmpl w:val="A60ED048"/>
    <w:lvl w:ilvl="0" w:tplc="74961C90">
      <w:start w:val="1"/>
      <w:numFmt w:val="bullet"/>
      <w:lvlText w:val=""/>
      <w:lvlJc w:val="center"/>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8E004D4"/>
    <w:multiLevelType w:val="hybridMultilevel"/>
    <w:tmpl w:val="F26EE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41236A"/>
    <w:multiLevelType w:val="hybridMultilevel"/>
    <w:tmpl w:val="93A82F50"/>
    <w:lvl w:ilvl="0" w:tplc="74961C90">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7C6D1C"/>
    <w:multiLevelType w:val="hybridMultilevel"/>
    <w:tmpl w:val="1E0632E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FE65D8"/>
    <w:multiLevelType w:val="hybridMultilevel"/>
    <w:tmpl w:val="CFB61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1D"/>
    <w:rsid w:val="000A40E5"/>
    <w:rsid w:val="000F2DB8"/>
    <w:rsid w:val="0010795B"/>
    <w:rsid w:val="001317C6"/>
    <w:rsid w:val="00132506"/>
    <w:rsid w:val="0014084B"/>
    <w:rsid w:val="001B3325"/>
    <w:rsid w:val="00246EDA"/>
    <w:rsid w:val="00330463"/>
    <w:rsid w:val="00340A6D"/>
    <w:rsid w:val="00343E3F"/>
    <w:rsid w:val="003C2E50"/>
    <w:rsid w:val="00436E22"/>
    <w:rsid w:val="00476100"/>
    <w:rsid w:val="004872A8"/>
    <w:rsid w:val="004D6D23"/>
    <w:rsid w:val="00520A09"/>
    <w:rsid w:val="00530D2C"/>
    <w:rsid w:val="00575F8E"/>
    <w:rsid w:val="005B723A"/>
    <w:rsid w:val="005F277C"/>
    <w:rsid w:val="005F6458"/>
    <w:rsid w:val="0063522F"/>
    <w:rsid w:val="006B1302"/>
    <w:rsid w:val="006B62F0"/>
    <w:rsid w:val="006D0603"/>
    <w:rsid w:val="00730E48"/>
    <w:rsid w:val="00755899"/>
    <w:rsid w:val="007A119F"/>
    <w:rsid w:val="007B3C3D"/>
    <w:rsid w:val="007B7E3F"/>
    <w:rsid w:val="00801FF9"/>
    <w:rsid w:val="0080226C"/>
    <w:rsid w:val="00827671"/>
    <w:rsid w:val="00841BCA"/>
    <w:rsid w:val="00852C78"/>
    <w:rsid w:val="0089769B"/>
    <w:rsid w:val="008A090F"/>
    <w:rsid w:val="008B4741"/>
    <w:rsid w:val="008E6A1D"/>
    <w:rsid w:val="00972B6B"/>
    <w:rsid w:val="009C56A9"/>
    <w:rsid w:val="009E2031"/>
    <w:rsid w:val="00A21D81"/>
    <w:rsid w:val="00A53A84"/>
    <w:rsid w:val="00A9644C"/>
    <w:rsid w:val="00AA08CE"/>
    <w:rsid w:val="00AE24BB"/>
    <w:rsid w:val="00C10872"/>
    <w:rsid w:val="00D5028E"/>
    <w:rsid w:val="00D91992"/>
    <w:rsid w:val="00DD0CBC"/>
    <w:rsid w:val="00DD60ED"/>
    <w:rsid w:val="00E36B52"/>
    <w:rsid w:val="00E40301"/>
    <w:rsid w:val="00E46AC6"/>
    <w:rsid w:val="00E639A7"/>
    <w:rsid w:val="00EF0313"/>
    <w:rsid w:val="00F27C1E"/>
    <w:rsid w:val="00F528BD"/>
    <w:rsid w:val="00F70EEF"/>
    <w:rsid w:val="00F710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9908"/>
  <w15:chartTrackingRefBased/>
  <w15:docId w15:val="{088F8650-10E0-475B-B10F-301ED7BE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78"/>
    <w:pPr>
      <w:spacing w:after="0" w:line="240" w:lineRule="auto"/>
    </w:pPr>
  </w:style>
  <w:style w:type="character" w:customStyle="1" w:styleId="Heading1Char">
    <w:name w:val="Heading 1 Char"/>
    <w:basedOn w:val="DefaultParagraphFont"/>
    <w:link w:val="Heading1"/>
    <w:uiPriority w:val="9"/>
    <w:rsid w:val="00852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7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3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link w:val="TablebodyChar"/>
    <w:rsid w:val="004872A8"/>
    <w:pPr>
      <w:spacing w:before="60" w:after="60" w:line="210" w:lineRule="atLeast"/>
    </w:pPr>
    <w:rPr>
      <w:rFonts w:ascii="Arial" w:eastAsia="Calibri" w:hAnsi="Arial" w:cs="Times New Roman"/>
      <w:sz w:val="20"/>
      <w:lang w:eastAsia="en-US"/>
    </w:rPr>
  </w:style>
  <w:style w:type="paragraph" w:customStyle="1" w:styleId="Tableheader">
    <w:name w:val="Table header"/>
    <w:basedOn w:val="Tablebody"/>
    <w:link w:val="TableheaderChar"/>
    <w:rsid w:val="004872A8"/>
  </w:style>
  <w:style w:type="paragraph" w:styleId="ListParagraph">
    <w:name w:val="List Paragraph"/>
    <w:basedOn w:val="Normal"/>
    <w:uiPriority w:val="34"/>
    <w:qFormat/>
    <w:rsid w:val="00575F8E"/>
    <w:pPr>
      <w:ind w:left="720"/>
      <w:contextualSpacing/>
    </w:pPr>
  </w:style>
  <w:style w:type="character" w:customStyle="1" w:styleId="citesec">
    <w:name w:val="cite_sec"/>
    <w:rsid w:val="00801FF9"/>
    <w:rPr>
      <w:rFonts w:ascii="Cambria" w:hAnsi="Cambria"/>
      <w:bdr w:val="none" w:sz="0" w:space="0" w:color="auto"/>
      <w:shd w:val="clear" w:color="auto" w:fill="FFCCCC"/>
    </w:rPr>
  </w:style>
  <w:style w:type="character" w:customStyle="1" w:styleId="TablebodyChar">
    <w:name w:val="Table body Char"/>
    <w:basedOn w:val="DefaultParagraphFont"/>
    <w:link w:val="Tablebody"/>
    <w:rsid w:val="00801FF9"/>
    <w:rPr>
      <w:rFonts w:ascii="Arial" w:eastAsia="Calibri" w:hAnsi="Arial" w:cs="Times New Roman"/>
      <w:sz w:val="20"/>
      <w:lang w:eastAsia="en-US"/>
    </w:rPr>
  </w:style>
  <w:style w:type="character" w:customStyle="1" w:styleId="TableheaderChar">
    <w:name w:val="Table header Char"/>
    <w:basedOn w:val="TablebodyChar"/>
    <w:link w:val="Tableheader"/>
    <w:rsid w:val="00801FF9"/>
    <w:rPr>
      <w:rFonts w:ascii="Arial" w:eastAsia="Calibri" w:hAnsi="Arial" w:cs="Times New Roman"/>
      <w:sz w:val="20"/>
      <w:lang w:eastAsia="en-US"/>
    </w:rPr>
  </w:style>
  <w:style w:type="paragraph" w:styleId="ListContinue2">
    <w:name w:val="List Continue 2"/>
    <w:basedOn w:val="ListContinue1"/>
    <w:rsid w:val="00F7102A"/>
    <w:pPr>
      <w:tabs>
        <w:tab w:val="left" w:pos="800"/>
      </w:tabs>
      <w:ind w:left="806"/>
    </w:pPr>
  </w:style>
  <w:style w:type="paragraph" w:styleId="ListNumber2">
    <w:name w:val="List Number 2"/>
    <w:basedOn w:val="Normal"/>
    <w:rsid w:val="00F7102A"/>
    <w:pPr>
      <w:tabs>
        <w:tab w:val="left" w:pos="403"/>
        <w:tab w:val="left" w:pos="800"/>
      </w:tabs>
      <w:spacing w:after="240" w:line="240" w:lineRule="atLeast"/>
      <w:ind w:left="806" w:hanging="403"/>
      <w:jc w:val="both"/>
    </w:pPr>
    <w:rPr>
      <w:rFonts w:ascii="Cambria" w:eastAsia="Calibri" w:hAnsi="Cambria" w:cs="Times New Roman"/>
      <w:lang w:val="fr-FR" w:eastAsia="en-US"/>
    </w:rPr>
  </w:style>
  <w:style w:type="paragraph" w:styleId="ListNumber3">
    <w:name w:val="List Number 3"/>
    <w:basedOn w:val="Normal"/>
    <w:rsid w:val="00F7102A"/>
    <w:pPr>
      <w:tabs>
        <w:tab w:val="left" w:pos="403"/>
        <w:tab w:val="left" w:pos="1200"/>
      </w:tabs>
      <w:spacing w:after="240" w:line="240" w:lineRule="atLeast"/>
      <w:ind w:left="1209" w:hanging="403"/>
      <w:jc w:val="both"/>
    </w:pPr>
    <w:rPr>
      <w:rFonts w:ascii="Cambria" w:eastAsia="Calibri" w:hAnsi="Cambria" w:cs="Times New Roman"/>
      <w:lang w:val="fr-FR" w:eastAsia="en-US"/>
    </w:rPr>
  </w:style>
  <w:style w:type="character" w:customStyle="1" w:styleId="stddocNumber">
    <w:name w:val="std_docNumber"/>
    <w:rsid w:val="00F7102A"/>
    <w:rPr>
      <w:rFonts w:ascii="Cambria" w:hAnsi="Cambria"/>
      <w:bdr w:val="none" w:sz="0" w:space="0" w:color="auto"/>
      <w:shd w:val="clear" w:color="auto" w:fill="F2DBDB"/>
    </w:rPr>
  </w:style>
  <w:style w:type="character" w:customStyle="1" w:styleId="stddocPartNumber">
    <w:name w:val="std_docPartNumber"/>
    <w:rsid w:val="00F7102A"/>
    <w:rPr>
      <w:rFonts w:ascii="Cambria" w:hAnsi="Cambria"/>
      <w:bdr w:val="none" w:sz="0" w:space="0" w:color="auto"/>
      <w:shd w:val="clear" w:color="auto" w:fill="EAF1DD"/>
    </w:rPr>
  </w:style>
  <w:style w:type="character" w:customStyle="1" w:styleId="stdpublisher">
    <w:name w:val="std_publisher"/>
    <w:rsid w:val="00F7102A"/>
    <w:rPr>
      <w:rFonts w:ascii="Cambria" w:hAnsi="Cambria"/>
      <w:bdr w:val="none" w:sz="0" w:space="0" w:color="auto"/>
      <w:shd w:val="clear" w:color="auto" w:fill="C6D9F1"/>
    </w:rPr>
  </w:style>
  <w:style w:type="character" w:customStyle="1" w:styleId="stdsection">
    <w:name w:val="std_section"/>
    <w:rsid w:val="00F7102A"/>
    <w:rPr>
      <w:rFonts w:ascii="Cambria" w:hAnsi="Cambria"/>
      <w:bdr w:val="none" w:sz="0" w:space="0" w:color="auto"/>
      <w:shd w:val="clear" w:color="auto" w:fill="E5DFEC"/>
    </w:rPr>
  </w:style>
  <w:style w:type="character" w:customStyle="1" w:styleId="stdyear">
    <w:name w:val="std_year"/>
    <w:rsid w:val="00F7102A"/>
    <w:rPr>
      <w:rFonts w:ascii="Cambria" w:hAnsi="Cambria"/>
      <w:bdr w:val="none" w:sz="0" w:space="0" w:color="auto"/>
      <w:shd w:val="clear" w:color="auto" w:fill="DAEEF3"/>
    </w:rPr>
  </w:style>
  <w:style w:type="paragraph" w:customStyle="1" w:styleId="BodyTextindent1">
    <w:name w:val="Body Text indent 1"/>
    <w:basedOn w:val="Normal"/>
    <w:rsid w:val="00F7102A"/>
    <w:pPr>
      <w:spacing w:after="240" w:line="240" w:lineRule="atLeast"/>
      <w:ind w:left="403"/>
      <w:jc w:val="both"/>
    </w:pPr>
    <w:rPr>
      <w:rFonts w:ascii="Cambria" w:eastAsia="Calibri" w:hAnsi="Cambria" w:cs="Times New Roman"/>
      <w:lang w:eastAsia="en-US"/>
    </w:rPr>
  </w:style>
  <w:style w:type="paragraph" w:customStyle="1" w:styleId="ListContinue1">
    <w:name w:val="List Continue 1"/>
    <w:basedOn w:val="Normal"/>
    <w:rsid w:val="00F7102A"/>
    <w:pPr>
      <w:spacing w:after="240" w:line="240" w:lineRule="atLeast"/>
      <w:ind w:left="403" w:hanging="403"/>
      <w:jc w:val="both"/>
    </w:pPr>
    <w:rPr>
      <w:rFonts w:ascii="Cambria" w:eastAsia="Calibri" w:hAnsi="Cambria" w:cs="Times New Roman"/>
      <w:lang w:val="fr-FR" w:eastAsia="en-US"/>
    </w:rPr>
  </w:style>
  <w:style w:type="paragraph" w:styleId="Header">
    <w:name w:val="header"/>
    <w:basedOn w:val="Normal"/>
    <w:link w:val="HeaderChar"/>
    <w:uiPriority w:val="99"/>
    <w:unhideWhenUsed/>
    <w:rsid w:val="00F70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EF"/>
  </w:style>
  <w:style w:type="paragraph" w:styleId="Footer">
    <w:name w:val="footer"/>
    <w:basedOn w:val="Normal"/>
    <w:link w:val="FooterChar"/>
    <w:uiPriority w:val="99"/>
    <w:unhideWhenUsed/>
    <w:rsid w:val="00F70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6E8008-463B-49EE-A5D4-B17C813B65F1}"/>
</file>

<file path=customXml/itemProps2.xml><?xml version="1.0" encoding="utf-8"?>
<ds:datastoreItem xmlns:ds="http://schemas.openxmlformats.org/officeDocument/2006/customXml" ds:itemID="{415DC555-2210-46F9-AC22-C6B9870F5DB5}"/>
</file>

<file path=customXml/itemProps3.xml><?xml version="1.0" encoding="utf-8"?>
<ds:datastoreItem xmlns:ds="http://schemas.openxmlformats.org/officeDocument/2006/customXml" ds:itemID="{84F13AC8-533D-4D11-B14D-B0C39FAD5E42}"/>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Hong</dc:creator>
  <cp:keywords/>
  <dc:description/>
  <cp:lastModifiedBy>Vuletic Mirna</cp:lastModifiedBy>
  <cp:revision>3</cp:revision>
  <dcterms:created xsi:type="dcterms:W3CDTF">2018-03-01T15:14:00Z</dcterms:created>
  <dcterms:modified xsi:type="dcterms:W3CDTF">2018-03-01T15:16:00Z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